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项目名称：常州市食品药品纤维质量监督检验中心</w:t>
      </w:r>
      <w:r/>
    </w:p>
    <w:p>
      <w:pPr>
        <w:ind w:firstLine="22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X射线衍射仪采购项目</w:t>
      </w:r>
      <w:r/>
    </w:p>
    <w:p>
      <w:pPr>
        <w:ind w:firstLine="640"/>
        <w:jc w:val="left"/>
        <w:spacing w:line="36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项目编号：</w:t>
      </w:r>
      <w:r>
        <w:rPr>
          <w:rFonts w:hint="default" w:ascii="宋体" w:hAnsi="宋体" w:cs="宋体"/>
          <w:bCs/>
          <w:sz w:val="32"/>
          <w:szCs w:val="32"/>
          <w:lang w:val="en-US" w:eastAsia="zh-CN"/>
        </w:rPr>
        <w:t xml:space="preserve">JSZC-320400-CZZH-G2025-0063</w:t>
      </w:r>
      <w:r/>
    </w:p>
    <w:p>
      <w:pPr>
        <w:ind w:firstLine="640"/>
        <w:jc w:val="left"/>
        <w:spacing w:line="360" w:lineRule="auto"/>
        <w:tabs>
          <w:tab w:val="left" w:pos="3240" w:leader="none"/>
          <w:tab w:val="left" w:pos="3420" w:leader="none"/>
        </w:tabs>
        <w:rPr>
          <w:rFonts w:ascii="宋体" w:hAnsi="宋体" w:cs="宋体"/>
          <w:bCs/>
          <w:sz w:val="32"/>
          <w:szCs w:val="32"/>
        </w:rPr>
        <w:outlineLvl w:val="0"/>
      </w:pPr>
      <w:r>
        <w:rPr>
          <w:rFonts w:hint="eastAsia" w:ascii="宋体" w:hAnsi="宋体" w:cs="宋体"/>
          <w:bCs/>
          <w:sz w:val="32"/>
          <w:szCs w:val="32"/>
        </w:rPr>
        <w:t xml:space="preserve">采 购 人：常州市食品药品纤维质量监督检验中心</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二零二五年十月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19"/>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19"/>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37"/>
          <w:rFonts w:ascii="Times New Roman" w:hAnsi="Times New Roman"/>
        </w:rPr>
        <w:t xml:space="preserve">第一章   </w:t>
      </w:r>
      <w:r>
        <w:rPr>
          <w:rStyle w:val="937"/>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19"/>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37"/>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919"/>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37"/>
          <w:rFonts w:ascii="Times New Roman" w:hAnsi="Times New Roman"/>
        </w:rPr>
        <w:t xml:space="preserve">第三章   资</w:t>
      </w:r>
      <w:bookmarkStart w:id="1" w:name="_Hlt100754117"/>
      <w:r>
        <w:rPr>
          <w:rStyle w:val="937"/>
          <w:rFonts w:ascii="Times New Roman" w:hAnsi="Times New Roman"/>
        </w:rPr>
        <w:t xml:space="preserve">格</w:t>
      </w:r>
      <w:bookmarkEnd w:id="1"/>
      <w:r>
        <w:rPr>
          <w:rStyle w:val="937"/>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919"/>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37"/>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919"/>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37"/>
          <w:rFonts w:ascii="Times New Roman" w:hAnsi="Times New Roman"/>
        </w:rPr>
        <w:t xml:space="preserve">第五章   采购</w:t>
      </w:r>
      <w:bookmarkStart w:id="2" w:name="_Hlt100754103"/>
      <w:r/>
      <w:bookmarkStart w:id="3" w:name="_Hlt100754102"/>
      <w:r>
        <w:rPr>
          <w:rStyle w:val="937"/>
          <w:rFonts w:ascii="Times New Roman" w:hAnsi="Times New Roman"/>
        </w:rPr>
        <w:t xml:space="preserve">需</w:t>
      </w:r>
      <w:bookmarkEnd w:id="2"/>
      <w:r/>
      <w:bookmarkEnd w:id="3"/>
      <w:r>
        <w:rPr>
          <w:rStyle w:val="937"/>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19"/>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37"/>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Fonts w:ascii="Times New Roman" w:hAnsi="Times New Roman"/>
        </w:rPr>
        <w:fldChar w:fldCharType="end"/>
      </w:r>
      <w:r/>
    </w:p>
    <w:p>
      <w:pPr>
        <w:pStyle w:val="919"/>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37"/>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19"/>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898"/>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rPr>
              <w:t xml:space="preserve">常州市食品药品纤维质量监督检验中心X射线衍射仪采购项目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2025年</w:t>
            </w:r>
            <w:r>
              <w:rPr>
                <w:rFonts w:hint="eastAsia" w:ascii="宋体" w:hAnsi="宋体" w:cs="宋体"/>
                <w:b/>
                <w:sz w:val="24"/>
                <w:lang w:val="en-US" w:eastAsia="zh-CN"/>
              </w:rPr>
              <w:t xml:space="preserve">11</w:t>
            </w:r>
            <w:r>
              <w:rPr>
                <w:rFonts w:hint="eastAsia" w:ascii="宋体" w:hAnsi="宋体" w:cs="宋体"/>
                <w:b/>
                <w:sz w:val="24"/>
              </w:rPr>
              <w:t xml:space="preserve">月</w:t>
            </w:r>
            <w:r>
              <w:rPr>
                <w:rFonts w:hint="eastAsia" w:ascii="宋体" w:hAnsi="宋体" w:cs="宋体"/>
                <w:b/>
                <w:sz w:val="24"/>
                <w:lang w:val="en-US" w:eastAsia="zh-CN"/>
              </w:rPr>
              <w:t xml:space="preserve">19</w:t>
            </w:r>
            <w:r>
              <w:rPr>
                <w:rFonts w:hint="eastAsia" w:ascii="宋体" w:hAnsi="宋体" w:cs="宋体"/>
                <w:b/>
                <w:sz w:val="24"/>
              </w:rPr>
              <w:t xml:space="preserve">日9:30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ascii="宋体" w:hAnsi="宋体" w:cs="宋体"/>
          <w:b/>
          <w:bCs/>
          <w:sz w:val="24"/>
        </w:rPr>
        <w:outlineLvl w:val="2"/>
      </w:pPr>
      <w:r>
        <w:rPr>
          <w:rFonts w:hint="eastAsia" w:ascii="宋体" w:hAnsi="宋体" w:cs="宋体"/>
          <w:b/>
          <w:bCs/>
          <w:sz w:val="24"/>
        </w:rPr>
        <w:t xml:space="preserve">项目名称：</w:t>
      </w:r>
      <w:r>
        <w:rPr>
          <w:rFonts w:hint="eastAsia" w:ascii="宋体" w:hAnsi="宋体" w:cs="宋体"/>
          <w:sz w:val="24"/>
        </w:rPr>
        <w:t xml:space="preserve">常州市食品药品纤维质量监督检验中心X射线衍射仪采购项目</w:t>
      </w:r>
      <w:r/>
    </w:p>
    <w:p>
      <w:pPr>
        <w:ind w:firstLine="482"/>
        <w:spacing w:line="360" w:lineRule="auto"/>
        <w:rPr>
          <w:rFonts w:ascii="宋体" w:hAnsi="宋体" w:cs="宋体"/>
          <w:spacing w:val="2"/>
          <w:sz w:val="24"/>
        </w:rPr>
      </w:pPr>
      <w:r>
        <w:rPr>
          <w:rFonts w:hint="eastAsia" w:ascii="宋体" w:hAnsi="宋体" w:cs="宋体"/>
          <w:b/>
          <w:bCs/>
          <w:sz w:val="24"/>
        </w:rPr>
        <w:t xml:space="preserve">项目编号：</w:t>
      </w:r>
      <w:r>
        <w:rPr>
          <w:rFonts w:hint="eastAsia" w:ascii="宋体" w:hAnsi="宋体" w:cs="宋体"/>
          <w:sz w:val="24"/>
        </w:rPr>
        <w:t xml:space="preserve">JSZC-320400-CZZH-G2025-0063</w:t>
      </w:r>
      <w:r/>
    </w:p>
    <w:p>
      <w:pPr>
        <w:ind w:firstLine="482"/>
        <w:spacing w:line="360" w:lineRule="auto"/>
        <w:rPr>
          <w:rFonts w:ascii="宋体" w:hAnsi="宋体" w:cs="宋体"/>
          <w:sz w:val="24"/>
        </w:rPr>
      </w:pPr>
      <w:r>
        <w:rPr>
          <w:rFonts w:hint="eastAsia" w:ascii="宋体" w:hAnsi="宋体" w:cs="宋体"/>
          <w:b/>
          <w:bCs/>
          <w:sz w:val="24"/>
        </w:rPr>
        <w:t xml:space="preserve">预算金额：</w:t>
      </w:r>
      <w:r>
        <w:rPr>
          <w:rFonts w:hint="eastAsia" w:ascii="宋体" w:hAnsi="宋体" w:cs="宋体"/>
          <w:sz w:val="24"/>
        </w:rPr>
        <w:t xml:space="preserve">120万</w:t>
      </w:r>
      <w:r/>
    </w:p>
    <w:p>
      <w:pPr>
        <w:ind w:firstLine="482"/>
        <w:spacing w:line="360" w:lineRule="auto"/>
        <w:rPr>
          <w:rFonts w:ascii="宋体" w:hAnsi="宋体" w:cs="宋体"/>
          <w:sz w:val="24"/>
        </w:rPr>
      </w:pPr>
      <w:r>
        <w:rPr>
          <w:rFonts w:hint="eastAsia" w:ascii="宋体" w:hAnsi="宋体" w:cs="宋体"/>
          <w:b/>
          <w:bCs/>
          <w:sz w:val="24"/>
        </w:rPr>
        <w:t xml:space="preserve">最高限价：</w:t>
      </w:r>
      <w:r>
        <w:rPr>
          <w:rFonts w:hint="eastAsia" w:ascii="宋体" w:hAnsi="宋体" w:cs="宋体"/>
          <w:sz w:val="24"/>
        </w:rPr>
        <w:t xml:space="preserve">120万</w:t>
      </w:r>
      <w:r/>
    </w:p>
    <w:p>
      <w:pPr>
        <w:ind w:firstLine="482"/>
        <w:spacing w:line="360" w:lineRule="auto"/>
        <w:rPr>
          <w:rFonts w:ascii="宋体" w:hAnsi="宋体" w:cs="宋体"/>
          <w:color w:val="000000"/>
          <w:sz w:val="24"/>
        </w:rPr>
      </w:pPr>
      <w:r>
        <w:rPr>
          <w:rFonts w:hint="eastAsia" w:ascii="宋体" w:hAnsi="宋体" w:cs="宋体"/>
          <w:b/>
          <w:bCs/>
          <w:sz w:val="24"/>
        </w:rPr>
        <w:t xml:space="preserve">采购需求：</w:t>
      </w:r>
      <w:r>
        <w:rPr>
          <w:rFonts w:hint="eastAsia" w:ascii="宋体" w:hAnsi="宋体" w:cs="宋体"/>
          <w:color w:val="000000"/>
          <w:sz w:val="24"/>
        </w:rPr>
        <w:t xml:space="preserve">本项目是</w:t>
      </w:r>
      <w:r>
        <w:rPr>
          <w:rFonts w:hint="eastAsia" w:ascii="宋体" w:hAnsi="宋体" w:cs="宋体"/>
          <w:sz w:val="24"/>
        </w:rPr>
        <w:t xml:space="preserve">常州市食品药品纤维质量监督检验中心X射线衍射仪采购项目</w:t>
      </w:r>
      <w:r>
        <w:rPr>
          <w:rFonts w:hint="eastAsia" w:ascii="宋体" w:hAnsi="宋体" w:cs="宋体"/>
          <w:color w:val="000000"/>
          <w:sz w:val="24"/>
        </w:rPr>
        <w:t xml:space="preserve">，包括但不限于设备的采购、运输、装卸、安装、调试、测试、技术培训等，直至通过采购人及其他相关部门的验收以及质量保修、免费维保等全部工作。</w:t>
      </w:r>
      <w:r/>
    </w:p>
    <w:p>
      <w:pPr>
        <w:pStyle w:val="983"/>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采购清单：</w:t>
      </w:r>
      <w:r/>
    </w:p>
    <w:tbl>
      <w:tblPr>
        <w:tblStyle w:val="898"/>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3165"/>
        <w:gridCol w:w="960"/>
        <w:gridCol w:w="1005"/>
        <w:gridCol w:w="1260"/>
        <w:gridCol w:w="1984"/>
      </w:tblGrid>
      <w:tr>
        <w:trPr>
          <w:jc w:val="center"/>
          <w:trHeight w:val="952"/>
        </w:trPr>
        <w:tc>
          <w:tcPr>
            <w:tcW w:w="1042"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序号</w:t>
            </w:r>
            <w:r/>
          </w:p>
        </w:tc>
        <w:tc>
          <w:tcPr>
            <w:tcW w:w="3165"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设备名称</w:t>
            </w:r>
            <w:r/>
          </w:p>
        </w:tc>
        <w:tc>
          <w:tcPr>
            <w:tcW w:w="960"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数量</w:t>
            </w:r>
            <w:r/>
          </w:p>
        </w:tc>
        <w:tc>
          <w:tcPr>
            <w:tcW w:w="1005"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单位</w:t>
            </w:r>
            <w:r/>
          </w:p>
        </w:tc>
        <w:tc>
          <w:tcPr>
            <w:tcW w:w="1260"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最高限价</w:t>
            </w:r>
            <w:r/>
          </w:p>
        </w:tc>
        <w:tc>
          <w:tcPr>
            <w:tcW w:w="1984"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19"/>
        </w:trPr>
        <w:tc>
          <w:tcPr>
            <w:tcW w:w="1042"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1</w:t>
            </w:r>
            <w:r/>
          </w:p>
        </w:tc>
        <w:tc>
          <w:tcPr>
            <w:tcW w:w="3165"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X射线衍射仪</w:t>
            </w:r>
            <w:r/>
          </w:p>
        </w:tc>
        <w:tc>
          <w:tcPr>
            <w:tcW w:w="960"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1</w:t>
            </w:r>
            <w:r/>
          </w:p>
        </w:tc>
        <w:tc>
          <w:tcPr>
            <w:tcW w:w="1005"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台</w:t>
            </w:r>
            <w:r/>
          </w:p>
        </w:tc>
        <w:tc>
          <w:tcPr>
            <w:tcW w:w="1260"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120万</w:t>
            </w:r>
            <w:r/>
          </w:p>
        </w:tc>
        <w:tc>
          <w:tcPr>
            <w:tcW w:w="1984" w:type="dxa"/>
            <w:vAlign w:val="center"/>
            <w:textDirection w:val="lrTb"/>
            <w:noWrap w:val="false"/>
          </w:tcPr>
          <w:p>
            <w:pPr>
              <w:pStyle w:val="983"/>
              <w:ind w:firstLine="0"/>
              <w:jc w:val="center"/>
              <w:rPr>
                <w:rFonts w:ascii="宋体" w:hAnsi="宋体" w:cs="宋体"/>
                <w:sz w:val="24"/>
                <w:szCs w:val="24"/>
              </w:rPr>
            </w:pPr>
            <w:r>
              <w:rPr>
                <w:rFonts w:hint="eastAsia" w:ascii="宋体" w:hAnsi="宋体" w:cs="宋体"/>
                <w:sz w:val="24"/>
                <w:szCs w:val="24"/>
              </w:rPr>
              <w:t xml:space="preserve">接受进口产品</w:t>
            </w:r>
            <w:r/>
          </w:p>
        </w:tc>
      </w:tr>
    </w:tbl>
    <w:p>
      <w:pPr>
        <w:ind w:firstLine="482"/>
        <w:spacing w:line="360" w:lineRule="auto"/>
        <w:rPr>
          <w:rFonts w:ascii="宋体" w:hAnsi="宋体" w:cs="宋体"/>
          <w:color w:val="ff0000"/>
          <w:sz w:val="24"/>
          <w:highlight w:val="yellow"/>
        </w:rPr>
      </w:pPr>
      <w:r>
        <w:rPr>
          <w:rFonts w:hint="eastAsia" w:ascii="宋体" w:hAnsi="宋体" w:cs="宋体"/>
          <w:b/>
          <w:bCs/>
          <w:sz w:val="24"/>
        </w:rPr>
        <w:t xml:space="preserve">合同履行期限：</w:t>
      </w:r>
      <w:r>
        <w:rPr>
          <w:rFonts w:hint="eastAsia" w:ascii="宋体" w:hAnsi="宋体" w:cs="宋体"/>
          <w:sz w:val="24"/>
        </w:rPr>
        <w:t xml:space="preserve">合同签订后</w:t>
      </w:r>
      <w:r>
        <w:rPr>
          <w:rFonts w:hint="eastAsia" w:ascii="宋体" w:hAnsi="宋体" w:cs="宋体"/>
          <w:sz w:val="24"/>
          <w:u w:val="single"/>
        </w:rPr>
        <w:t xml:space="preserve"> 90 </w:t>
      </w:r>
      <w:r>
        <w:rPr>
          <w:rFonts w:hint="eastAsia" w:ascii="宋体" w:hAnsi="宋体" w:cs="宋体"/>
          <w:sz w:val="24"/>
        </w:rPr>
        <w:t xml:space="preserve">天内完成合同范围内所有设备的供货、安装调试完成。</w:t>
      </w:r>
      <w:r/>
    </w:p>
    <w:p>
      <w:pPr>
        <w:ind w:firstLine="482"/>
        <w:spacing w:line="360" w:lineRule="auto"/>
        <w:rPr>
          <w:rFonts w:ascii="宋体" w:hAnsi="宋体" w:cs="宋体"/>
          <w:b/>
          <w:bCs/>
          <w:sz w:val="24"/>
        </w:rPr>
        <w:outlineLvl w:val="1"/>
      </w:pPr>
      <w:r>
        <w:rPr>
          <w:rFonts w:hint="eastAsia" w:ascii="宋体" w:hAnsi="宋体" w:cs="宋体"/>
          <w:b/>
          <w:bCs/>
          <w:sz w:val="24"/>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rPr>
      </w:pPr>
      <w:r>
        <w:rPr>
          <w:rFonts w:hint="eastAsia" w:ascii="宋体" w:hAnsi="宋体" w:cs="宋体"/>
          <w:sz w:val="24"/>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ascii="宋体" w:hAnsi="宋体" w:cs="宋体"/>
          <w:sz w:val="24"/>
        </w:rPr>
      </w:pPr>
      <w:r>
        <w:rPr>
          <w:rFonts w:hint="eastAsia" w:ascii="宋体" w:hAnsi="宋体" w:cs="宋体"/>
          <w:sz w:val="24"/>
        </w:rPr>
        <w:t xml:space="preserve">3.5本项目是否属于政府购买服务：否；</w:t>
      </w:r>
      <w:r/>
    </w:p>
    <w:p>
      <w:pPr>
        <w:ind w:firstLine="482"/>
        <w:spacing w:line="360" w:lineRule="auto"/>
        <w:rPr>
          <w:rFonts w:ascii="宋体" w:hAnsi="宋体" w:cs="宋体"/>
          <w:sz w:val="24"/>
        </w:rPr>
      </w:pPr>
      <w:r>
        <w:rPr>
          <w:rFonts w:hint="eastAsia" w:ascii="宋体" w:hAnsi="宋体" w:cs="宋体"/>
          <w:sz w:val="24"/>
        </w:rPr>
        <w:t xml:space="preserve">3.6其他特定资格要求：</w:t>
      </w:r>
      <w:r>
        <w:rPr>
          <w:rFonts w:hint="eastAsia" w:ascii="宋体" w:hAnsi="宋体" w:cs="宋体"/>
          <w:b/>
          <w:bCs/>
          <w:sz w:val="24"/>
        </w:rPr>
        <w:t xml:space="preserve">本项目接受进口产品投标，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p>
      <w:pPr>
        <w:ind w:firstLine="482"/>
        <w:spacing w:line="360" w:lineRule="auto"/>
        <w:rPr>
          <w:rFonts w:ascii="宋体" w:hAnsi="宋体" w:cs="宋体"/>
          <w:bCs/>
          <w:sz w:val="24"/>
        </w:rPr>
        <w:outlineLvl w:val="1"/>
      </w:pPr>
      <w:r/>
      <w:bookmarkStart w:id="4" w:name="_Toc35393792"/>
      <w:r/>
      <w:bookmarkStart w:id="5" w:name="_Toc35393623"/>
      <w:r>
        <w:rPr>
          <w:rFonts w:hint="eastAsia" w:ascii="宋体" w:hAnsi="宋体" w:cs="宋体"/>
          <w:bCs/>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1.时间：2025年10月</w:t>
      </w:r>
      <w:r>
        <w:rPr>
          <w:rFonts w:hint="eastAsia" w:ascii="宋体" w:hAnsi="宋体" w:cs="宋体"/>
          <w:sz w:val="24"/>
          <w:lang w:val="en-US" w:eastAsia="zh-CN"/>
        </w:rPr>
        <w:t xml:space="preserve">30</w:t>
      </w:r>
      <w:r>
        <w:rPr>
          <w:rFonts w:hint="eastAsia" w:ascii="宋体" w:hAnsi="宋体" w:cs="宋体"/>
          <w:sz w:val="24"/>
        </w:rPr>
        <w:t xml:space="preserve">日至2025年1</w:t>
      </w:r>
      <w:r>
        <w:rPr>
          <w:rFonts w:hint="eastAsia" w:ascii="宋体" w:hAnsi="宋体" w:cs="宋体"/>
          <w:sz w:val="24"/>
          <w:lang w:val="en-US" w:eastAsia="zh-CN"/>
        </w:rPr>
        <w:t xml:space="preserve">1</w:t>
      </w:r>
      <w:r>
        <w:rPr>
          <w:rFonts w:hint="eastAsia" w:ascii="宋体" w:hAnsi="宋体" w:cs="宋体"/>
          <w:sz w:val="24"/>
        </w:rPr>
        <w:t xml:space="preserve">月</w:t>
      </w:r>
      <w:r>
        <w:rPr>
          <w:rFonts w:hint="eastAsia" w:ascii="宋体" w:hAnsi="宋体" w:cs="宋体"/>
          <w:sz w:val="24"/>
          <w:lang w:val="en-US" w:eastAsia="zh-CN"/>
        </w:rPr>
        <w:t xml:space="preserve">5</w:t>
      </w:r>
      <w:r>
        <w:rPr>
          <w:rFonts w:hint="eastAsia" w:ascii="宋体" w:hAnsi="宋体" w:cs="宋体"/>
          <w:sz w:val="24"/>
        </w:rPr>
        <w:t xml:space="preserve">日 </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19</w:t>
      </w:r>
      <w:r>
        <w:rPr>
          <w:rFonts w:hint="eastAsia" w:ascii="宋体" w:hAnsi="宋体" w:cs="宋体"/>
          <w:sz w:val="24"/>
        </w:rPr>
        <w:t xml:space="preserve">日9</w:t>
      </w:r>
      <w:bookmarkStart w:id="884" w:name="_GoBack"/>
      <w:r/>
      <w:bookmarkEnd w:id="884"/>
      <w:r>
        <w:rPr>
          <w:rFonts w:hint="eastAsia" w:ascii="宋体" w:hAnsi="宋体" w:cs="宋体"/>
          <w:sz w:val="24"/>
        </w:rPr>
        <w:t xml:space="preserve">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889"/>
        <w:ind w:firstLine="420"/>
        <w:jc w:val="left"/>
        <w:spacing w:before="0" w:line="360" w:lineRule="auto"/>
        <w:rPr>
          <w:rFonts w:ascii="宋体" w:hAnsi="宋体" w:eastAsia="宋体" w:cs="宋体"/>
          <w:bCs/>
          <w:sz w:val="24"/>
          <w:szCs w:val="24"/>
        </w:rPr>
      </w:pPr>
      <w:r/>
      <w:bookmarkStart w:id="9" w:name="_Toc35393625"/>
      <w:r/>
      <w:bookmarkStart w:id="10" w:name="_Toc28359007"/>
      <w:r/>
      <w:bookmarkStart w:id="11" w:name="_Toc28359084"/>
      <w:r/>
      <w:bookmarkStart w:id="12" w:name="_Toc35393794"/>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67"/>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ind w:firstLine="482"/>
        <w:spacing w:line="360" w:lineRule="auto"/>
        <w:rPr>
          <w:rFonts w:ascii="宋体" w:hAnsi="宋体" w:cs="宋体"/>
          <w:sz w:val="24"/>
        </w:rPr>
        <w:outlineLvl w:val="3"/>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outlineLvl w:val="2"/>
      </w:pPr>
      <w:r>
        <w:rPr>
          <w:rFonts w:hint="eastAsia" w:ascii="宋体" w:hAnsi="宋体" w:cs="宋体"/>
          <w:sz w:val="24"/>
        </w:rPr>
        <w:t xml:space="preserve">1.采购人信息</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名 称： 常州市食品药品纤维质量监督检验中心 </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地 址： 江苏省常州市新北区秦岭路 178 号</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联系人：高女士   </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电  话：0519-86628211</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30"/>
        <w:ind w:left="0" w:firstLine="0"/>
        <w:rPr>
          <w:szCs w:val="24"/>
        </w:rPr>
      </w:pPr>
      <w:r>
        <w:rPr>
          <w:szCs w:val="24"/>
        </w:rPr>
        <w:br w:type="page" w:clear="all"/>
      </w:r>
      <w:r/>
    </w:p>
    <w:p>
      <w:pPr>
        <w:ind w:firstLine="723"/>
        <w:jc w:val="center"/>
        <w:spacing w:line="360" w:lineRule="auto"/>
        <w:rPr>
          <w:b/>
          <w:sz w:val="32"/>
          <w:szCs w:val="32"/>
        </w:rPr>
        <w:outlineLvl w:val="0"/>
      </w:pPr>
      <w:r/>
      <w:bookmarkStart w:id="13" w:name="_Toc127161488"/>
      <w:r/>
      <w:bookmarkStart w:id="14" w:name="_Toc353873938"/>
      <w:r/>
      <w:bookmarkStart w:id="15" w:name="_Toc127151777"/>
      <w:r/>
      <w:bookmarkStart w:id="16" w:name="_Toc99301420"/>
      <w:r/>
      <w:bookmarkStart w:id="17" w:name="_Toc195842950"/>
      <w:r/>
      <w:bookmarkStart w:id="18" w:name="_Toc264969275"/>
      <w:r/>
      <w:bookmarkStart w:id="19" w:name="_Toc226965856"/>
      <w:r/>
      <w:bookmarkStart w:id="20" w:name="_Toc265228423"/>
      <w:r/>
      <w:bookmarkStart w:id="21" w:name="_Toc150774783"/>
      <w:r/>
      <w:bookmarkStart w:id="22" w:name="_Toc353825548"/>
      <w:r/>
      <w:bookmarkStart w:id="23" w:name="_Toc512937850"/>
      <w:r/>
      <w:bookmarkStart w:id="24" w:name="_Toc305158928"/>
      <w:r/>
      <w:bookmarkStart w:id="25" w:name="_Toc305158854"/>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889"/>
        <w:ind w:firstLine="560"/>
        <w:spacing w:before="0" w:line="360" w:lineRule="auto"/>
        <w:tabs>
          <w:tab w:val="center" w:pos="4592" w:leader="none"/>
          <w:tab w:val="left" w:pos="7860" w:leader="none"/>
        </w:tabs>
        <w:rPr>
          <w:rFonts w:ascii="Times New Roman" w:hAnsi="Times New Roman" w:eastAsia="宋体"/>
          <w:sz w:val="28"/>
        </w:rPr>
      </w:pPr>
      <w:r/>
      <w:bookmarkStart w:id="26" w:name="_Toc150774724"/>
      <w:r/>
      <w:bookmarkStart w:id="27" w:name="_Toc150509270"/>
      <w:r/>
      <w:bookmarkStart w:id="28" w:name="_Toc164608788"/>
      <w:r/>
      <w:bookmarkStart w:id="29" w:name="_Toc150774619"/>
      <w:r/>
      <w:bookmarkStart w:id="30" w:name="_Toc127151519"/>
      <w:r/>
      <w:bookmarkStart w:id="31" w:name="_Toc195842884"/>
      <w:r/>
      <w:bookmarkStart w:id="32" w:name="_Toc151193833"/>
      <w:r/>
      <w:bookmarkStart w:id="33" w:name="_Toc226965709"/>
      <w:r/>
      <w:bookmarkStart w:id="34" w:name="_Toc164351613"/>
      <w:r/>
      <w:bookmarkStart w:id="35" w:name="_Toc142311021"/>
      <w:r/>
      <w:bookmarkStart w:id="36" w:name="_Toc149720812"/>
      <w:r/>
      <w:bookmarkStart w:id="37" w:name="_Toc151193907"/>
      <w:r/>
      <w:bookmarkStart w:id="38" w:name="_Toc151190146"/>
      <w:r/>
      <w:bookmarkStart w:id="39" w:name="_Toc164229360"/>
      <w:r/>
      <w:bookmarkStart w:id="40" w:name="_Toc226337215"/>
      <w:r/>
      <w:bookmarkStart w:id="41" w:name="_Toc151193617"/>
      <w:r/>
      <w:bookmarkStart w:id="42" w:name="_Toc127161433"/>
      <w:r/>
      <w:bookmarkStart w:id="43" w:name="_Toc151193689"/>
      <w:r/>
      <w:bookmarkStart w:id="44" w:name="_Toc151193761"/>
      <w:r/>
      <w:bookmarkStart w:id="45" w:name="_Toc520356144"/>
      <w:r/>
      <w:bookmarkStart w:id="46" w:name="_Toc226309763"/>
      <w:r/>
      <w:bookmarkStart w:id="47" w:name="_Toc127151720"/>
      <w:r/>
      <w:bookmarkStart w:id="48" w:name="_Toc226965792"/>
      <w:r/>
      <w:bookmarkStart w:id="49" w:name="_Toc150480757"/>
      <w:r/>
      <w:bookmarkStart w:id="50" w:name="_Toc164608633"/>
      <w:r/>
      <w:bookmarkStart w:id="51" w:name="_Toc164229214"/>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898"/>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760"/>
        <w:gridCol w:w="6729"/>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97" w:type="pct"/>
            <w:vAlign w:val="center"/>
            <w:textDirection w:val="lrTb"/>
            <w:noWrap w:val="false"/>
          </w:tcPr>
          <w:p>
            <w:pPr>
              <w:pStyle w:val="912"/>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rPr>
              <w:t xml:space="preserve">□</w:t>
            </w:r>
            <w:r>
              <w:rPr>
                <w:sz w:val="24"/>
              </w:rPr>
              <w:t xml:space="preserve">是</w:t>
            </w:r>
            <w:r>
              <w:rPr>
                <w:rFonts w:hint="eastAsia"/>
                <w:sz w:val="24"/>
              </w:rPr>
              <w:t xml:space="preserve">  ☑</w:t>
            </w:r>
            <w:r>
              <w:rPr>
                <w:sz w:val="24"/>
              </w:rPr>
              <w:t xml:space="preserve">否</w:t>
            </w:r>
            <w:r/>
          </w:p>
        </w:tc>
      </w:tr>
      <w:tr>
        <w:trPr>
          <w:jc w:val="center"/>
          <w:trHeight w:val="1076"/>
        </w:trPr>
        <w:tc>
          <w:tcPr>
            <w:tcW w:w="597" w:type="pct"/>
            <w:vAlign w:val="center"/>
            <w:textDirection w:val="lrTb"/>
            <w:noWrap w:val="false"/>
          </w:tcPr>
          <w:p>
            <w:pPr>
              <w:pStyle w:val="912"/>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sz w:val="24"/>
              </w:rPr>
            </w:pPr>
            <w:r>
              <w:rPr>
                <w:sz w:val="24"/>
              </w:rPr>
              <w:t xml:space="preserve">核心产品</w:t>
            </w:r>
            <w:r/>
          </w:p>
        </w:tc>
        <w:tc>
          <w:tcPr>
            <w:tcW w:w="3489" w:type="pct"/>
            <w:vAlign w:val="center"/>
            <w:textDirection w:val="lrTb"/>
            <w:noWrap w:val="false"/>
          </w:tcPr>
          <w:p>
            <w:pPr>
              <w:pStyle w:val="912"/>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12"/>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b/>
                <w:bCs/>
                <w:sz w:val="24"/>
                <w:u w:val="single"/>
              </w:rPr>
            </w:pPr>
            <w:r>
              <w:rPr>
                <w:rFonts w:hint="eastAsia"/>
                <w:sz w:val="24"/>
              </w:rPr>
              <w:t xml:space="preserve">□</w:t>
            </w:r>
            <w:r>
              <w:rPr>
                <w:sz w:val="24"/>
              </w:rPr>
              <w:t xml:space="preserve">本项目为非单一产品采购项目，</w:t>
            </w:r>
            <w:r>
              <w:rPr>
                <w:sz w:val="24"/>
                <w:u w:val="single"/>
              </w:rPr>
              <w:t xml:space="preserve">核心产品为</w:t>
            </w:r>
            <w:r>
              <w:rPr>
                <w:b/>
                <w:bCs/>
                <w:sz w:val="24"/>
                <w:u w:val="single"/>
              </w:rPr>
              <w:t xml:space="preserve">：</w:t>
            </w:r>
            <w:r>
              <w:rPr>
                <w:rFonts w:hint="eastAsia"/>
                <w:b/>
                <w:bCs/>
                <w:sz w:val="24"/>
                <w:u w:val="single"/>
              </w:rPr>
              <w:t xml:space="preserve">/</w:t>
            </w:r>
            <w:r/>
          </w:p>
        </w:tc>
      </w:tr>
      <w:tr>
        <w:trPr>
          <w:jc w:val="center"/>
          <w:trHeight w:val="20"/>
        </w:trPr>
        <w:tc>
          <w:tcPr>
            <w:tcW w:w="597" w:type="pct"/>
            <w:vAlign w:val="center"/>
            <w:vMerge w:val="restart"/>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12"/>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12"/>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89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ascii="宋体" w:hAnsi="宋体" w:cs="宋体"/>
                <w:sz w:val="24"/>
              </w:rPr>
            </w:pPr>
            <w:r>
              <w:rPr>
                <w:rFonts w:hint="eastAsia" w:ascii="宋体" w:hAnsi="宋体" w:cs="宋体"/>
                <w:sz w:val="24"/>
              </w:rPr>
              <w:t xml:space="preserve">名 称： 常州市食品药品纤维质量监督检验中心 </w:t>
            </w:r>
            <w:r/>
          </w:p>
          <w:p>
            <w:pPr>
              <w:jc w:val="left"/>
              <w:spacing w:line="360" w:lineRule="exact"/>
              <w:rPr>
                <w:rFonts w:ascii="宋体" w:hAnsi="宋体" w:cs="宋体"/>
                <w:sz w:val="24"/>
              </w:rPr>
            </w:pPr>
            <w:r>
              <w:rPr>
                <w:rFonts w:hint="eastAsia" w:ascii="宋体" w:hAnsi="宋体" w:cs="宋体"/>
                <w:sz w:val="24"/>
              </w:rPr>
              <w:t xml:space="preserve">地 址： 江苏省常州市新北区秦岭路 178 号</w:t>
            </w:r>
            <w:r/>
          </w:p>
          <w:p>
            <w:pPr>
              <w:jc w:val="left"/>
              <w:spacing w:line="360" w:lineRule="exact"/>
              <w:rPr>
                <w:rFonts w:ascii="宋体" w:hAnsi="宋体" w:cs="宋体"/>
                <w:sz w:val="24"/>
              </w:rPr>
            </w:pPr>
            <w:r>
              <w:rPr>
                <w:rFonts w:hint="eastAsia" w:ascii="宋体" w:hAnsi="宋体" w:cs="宋体"/>
                <w:sz w:val="24"/>
              </w:rPr>
              <w:t xml:space="preserve">联系人：高女士   </w:t>
            </w:r>
            <w:r/>
          </w:p>
          <w:p>
            <w:pPr>
              <w:jc w:val="left"/>
              <w:spacing w:line="360" w:lineRule="exact"/>
              <w:rPr>
                <w:rFonts w:ascii="宋体" w:hAnsi="宋体" w:cs="宋体"/>
                <w:sz w:val="24"/>
              </w:rPr>
            </w:pPr>
            <w:r>
              <w:rPr>
                <w:rFonts w:hint="eastAsia" w:ascii="宋体" w:hAnsi="宋体" w:cs="宋体"/>
                <w:sz w:val="24"/>
              </w:rPr>
              <w:t xml:space="preserve">电  话：0519-86628211</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12"/>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收费对象：中标人</w:t>
            </w:r>
            <w:r/>
          </w:p>
          <w:p>
            <w:pPr>
              <w:jc w:val="left"/>
              <w:spacing w:line="360" w:lineRule="exact"/>
              <w:rPr>
                <w:rFonts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（1）服务费按照下列标准收取并由中标人承担，中标人应在领取中标通知书时将代理服务费付至采购代理机构收取投标保证金的账户。</w:t>
            </w:r>
            <w:r/>
          </w:p>
          <w:p>
            <w:pPr>
              <w:jc w:val="left"/>
              <w:spacing w:line="360" w:lineRule="exact"/>
              <w:rPr>
                <w:rFonts w:ascii="宋体" w:hAnsi="宋体" w:cs="宋体"/>
                <w:sz w:val="24"/>
              </w:rPr>
            </w:pPr>
            <w:r>
              <w:rPr>
                <w:rFonts w:hint="eastAsia" w:ascii="宋体" w:hAnsi="宋体" w:cs="宋体"/>
                <w:sz w:val="24"/>
              </w:rPr>
              <w:t xml:space="preserve">（2）代理服务收费标准</w:t>
            </w:r>
            <w:r/>
          </w:p>
          <w:tbl>
            <w:tblPr>
              <w:tblStyle w:val="898"/>
              <w:tblW w:w="0" w:type="auto"/>
              <w:tblInd w:w="11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692"/>
            </w:tblGrid>
            <w:tr>
              <w:trPr>
                <w:trHeight w:val="1710"/>
              </w:trPr>
              <w:tc>
                <w:tcPr>
                  <w:tcW w:w="2467" w:type="dxa"/>
                  <w:textDirection w:val="lrTb"/>
                  <w:noWrap w:val="false"/>
                </w:tcPr>
                <w:p>
                  <w:pPr>
                    <w:ind w:firstLine="48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-20320</wp:posOffset>
                            </wp:positionH>
                            <wp:positionV relativeFrom="paragraph">
                              <wp:posOffset>81280</wp:posOffset>
                            </wp:positionV>
                            <wp:extent cx="1489075" cy="1264920"/>
                            <wp:effectExtent l="3175" t="3810" r="12700" b="7620"/>
                            <wp:wrapNone/>
                            <wp:docPr id="4"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1.6pt,6.4pt" to="115.7pt,106.0pt" filled="f" strokecolor="#000000" strokeweight="0.75pt"/>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Line 4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sz w:val="24"/>
                    </w:rPr>
                    <w:t xml:space="preserve">项目类型</w:t>
                  </w:r>
                  <w:r/>
                </w:p>
                <w:p>
                  <w:pPr>
                    <w:ind w:firstLine="482"/>
                    <w:jc w:val="left"/>
                    <w:spacing w:line="360" w:lineRule="exact"/>
                    <w:rPr>
                      <w:rFonts w:ascii="宋体" w:hAnsi="宋体" w:cs="宋体"/>
                      <w:sz w:val="24"/>
                    </w:rPr>
                  </w:pPr>
                  <w:r>
                    <w:rPr>
                      <w:rFonts w:ascii="宋体" w:hAnsi="宋体" w:cs="宋体"/>
                      <w:sz w:val="24"/>
                    </w:rPr>
                  </w:r>
                  <w:r/>
                </w:p>
                <w:p>
                  <w:pPr>
                    <w:ind w:firstLine="240"/>
                    <w:jc w:val="left"/>
                    <w:spacing w:line="360" w:lineRule="exact"/>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-59055</wp:posOffset>
                            </wp:positionH>
                            <wp:positionV relativeFrom="paragraph">
                              <wp:posOffset>134620</wp:posOffset>
                            </wp:positionV>
                            <wp:extent cx="1487805" cy="749300"/>
                            <wp:effectExtent l="1905" t="4445" r="15240" b="8255"/>
                            <wp:wrapNone/>
                            <wp:docPr id="6" name="Line 47"/>
                            <wp:cNvGraphicFramePr/>
                            <a:graphic xmlns:a="http://schemas.openxmlformats.org/drawingml/2006/main">
                              <a:graphicData uri="http://schemas.microsoft.com/office/word/2010/wordprocessingShape">
                                <wps:wsp>
                                  <wps:cNvPr id="0" name=""/>
                                  <wps:cNvSpPr/>
                                  <wps:spPr bwMode="auto">
                                    <a:xfrm flipH="1" flipV="1">
                                      <a:off x="0" y="0"/>
                                      <a:ext cx="1365884" cy="170942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6pt,10.6pt" to="112.5pt,69.6pt" filled="f" strokecolor="#000000" strokeweight="0.75pt"/>
                        </w:pict>
                      </mc:Fallback>
                    </mc:AlternateContent>
                  </w:r>
                  <w:r>
                    <w:rPr>
                      <w:rFonts w:hint="eastAsia" w:ascii="宋体" w:hAnsi="宋体" w:cs="宋体"/>
                      <w:sz w:val="24"/>
                    </w:rPr>
                    <w:t xml:space="preserve">费率</w:t>
                  </w:r>
                  <w:r/>
                </w:p>
                <w:p>
                  <w:pPr>
                    <w:ind w:firstLine="482"/>
                    <w:jc w:val="left"/>
                    <w:spacing w:line="360" w:lineRule="exact"/>
                    <w:rPr>
                      <w:rFonts w:ascii="宋体" w:hAnsi="宋体" w:cs="宋体"/>
                      <w:sz w:val="24"/>
                    </w:rPr>
                  </w:pPr>
                  <w:r>
                    <w:rPr>
                      <w:rFonts w:ascii="宋体" w:hAnsi="宋体" w:cs="宋体"/>
                      <w:sz w:val="24"/>
                    </w:rPr>
                  </w:r>
                  <w:r/>
                </w:p>
                <w:p>
                  <w:pPr>
                    <w:ind w:firstLine="482"/>
                    <w:jc w:val="left"/>
                    <w:spacing w:line="360" w:lineRule="exact"/>
                    <w:rPr>
                      <w:rFonts w:ascii="宋体" w:hAnsi="宋体" w:cs="宋体"/>
                      <w:sz w:val="24"/>
                    </w:rPr>
                  </w:pPr>
                  <w:r>
                    <w:rPr>
                      <w:rFonts w:ascii="宋体" w:hAnsi="宋体" w:cs="宋体"/>
                      <w:sz w:val="24"/>
                    </w:rPr>
                  </w:r>
                  <w:r/>
                </w:p>
                <w:p>
                  <w:pPr>
                    <w:jc w:val="left"/>
                    <w:spacing w:line="360" w:lineRule="exact"/>
                    <w:rPr>
                      <w:rFonts w:ascii="宋体" w:hAnsi="宋体" w:cs="宋体"/>
                      <w:sz w:val="24"/>
                    </w:rPr>
                  </w:pPr>
                  <w:r>
                    <w:rPr>
                      <w:rFonts w:hint="eastAsia" w:ascii="宋体" w:hAnsi="宋体" w:cs="宋体"/>
                      <w:sz w:val="24"/>
                    </w:rPr>
                    <w:t xml:space="preserve">预算金额（万元）</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货物类</w:t>
                  </w:r>
                  <w:r/>
                </w:p>
              </w:tc>
            </w:tr>
            <w:tr>
              <w:trPr>
                <w:trHeight w:val="292"/>
              </w:trPr>
              <w:tc>
                <w:tcPr>
                  <w:tcW w:w="2467" w:type="dxa"/>
                  <w:textDirection w:val="lrTb"/>
                  <w:noWrap w:val="false"/>
                </w:tcPr>
                <w:p>
                  <w:pPr>
                    <w:jc w:val="left"/>
                    <w:spacing w:line="360" w:lineRule="exact"/>
                    <w:rPr>
                      <w:rFonts w:ascii="宋体" w:hAnsi="宋体" w:cs="宋体"/>
                      <w:sz w:val="24"/>
                    </w:rPr>
                  </w:pPr>
                  <w:r>
                    <w:rPr>
                      <w:rFonts w:hint="eastAsia" w:ascii="宋体" w:hAnsi="宋体" w:cs="宋体"/>
                      <w:sz w:val="24"/>
                    </w:rPr>
                    <w:t xml:space="preserve">100（含，下同）以下</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1.5%</w:t>
                  </w:r>
                  <w:r/>
                </w:p>
              </w:tc>
            </w:tr>
            <w:tr>
              <w:trPr>
                <w:trHeight w:val="292"/>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100-500</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1.1%</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500—1000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0.8%</w:t>
                  </w:r>
                  <w:r/>
                </w:p>
              </w:tc>
            </w:tr>
            <w:tr>
              <w:trPr>
                <w:trHeight w:val="292"/>
              </w:trPr>
              <w:tc>
                <w:tcPr>
                  <w:tcW w:w="2467"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1000-5000</w:t>
                  </w:r>
                  <w:r/>
                </w:p>
              </w:tc>
              <w:tc>
                <w:tcPr>
                  <w:tcW w:w="1692" w:type="dxa"/>
                  <w:vAlign w:val="center"/>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0.5%</w:t>
                  </w:r>
                  <w:r/>
                </w:p>
              </w:tc>
            </w:tr>
            <w:tr>
              <w:trPr>
                <w:trHeight w:val="300"/>
              </w:trPr>
              <w:tc>
                <w:tcPr>
                  <w:tcW w:w="2467"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c>
                <w:tcPr>
                  <w:tcW w:w="1692" w:type="dxa"/>
                  <w:textDirection w:val="lrTb"/>
                  <w:noWrap w:val="false"/>
                </w:tcPr>
                <w:p>
                  <w:pPr>
                    <w:ind w:firstLine="482"/>
                    <w:jc w:val="left"/>
                    <w:spacing w:line="360" w:lineRule="exact"/>
                    <w:rPr>
                      <w:rFonts w:ascii="宋体" w:hAnsi="宋体" w:cs="宋体"/>
                      <w:sz w:val="24"/>
                    </w:rPr>
                  </w:pPr>
                  <w:r>
                    <w:rPr>
                      <w:rFonts w:hint="eastAsia" w:ascii="宋体" w:hAnsi="宋体" w:cs="宋体"/>
                      <w:sz w:val="24"/>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（3）代理服务收费按差额定率累进法计算。  </w:t>
            </w:r>
            <w:r/>
          </w:p>
          <w:p>
            <w:pPr>
              <w:jc w:val="left"/>
              <w:spacing w:line="360" w:lineRule="exact"/>
              <w:rPr>
                <w:rFonts w:ascii="宋体" w:hAnsi="宋体" w:cs="宋体"/>
                <w:sz w:val="24"/>
              </w:rPr>
            </w:pPr>
            <w:r>
              <w:rPr>
                <w:rFonts w:hint="eastAsia" w:ascii="宋体" w:hAnsi="宋体" w:cs="宋体"/>
                <w:sz w:val="24"/>
              </w:rPr>
              <w:t xml:space="preserve">（4）服务收费按上述计算方法不足人民币3000元的，按人民币3000元收取。</w:t>
            </w:r>
            <w:r/>
          </w:p>
          <w:p>
            <w:pPr>
              <w:jc w:val="left"/>
              <w:spacing w:line="360" w:lineRule="exact"/>
              <w:rPr>
                <w:rFonts w:ascii="宋体" w:hAnsi="宋体" w:cs="宋体"/>
                <w:sz w:val="24"/>
              </w:rPr>
            </w:pPr>
            <w:r>
              <w:rPr>
                <w:rFonts w:hint="eastAsia" w:ascii="宋体" w:hAnsi="宋体" w:cs="宋体"/>
                <w:sz w:val="24"/>
              </w:rPr>
              <w:t xml:space="preserve">代理服务费缴纳账户信息：</w:t>
            </w:r>
            <w:r/>
          </w:p>
          <w:p>
            <w:pPr>
              <w:jc w:val="left"/>
              <w:spacing w:line="360" w:lineRule="exact"/>
              <w:rPr>
                <w:rFonts w:ascii="宋体" w:hAnsi="宋体" w:cs="宋体"/>
                <w:sz w:val="24"/>
              </w:rPr>
            </w:pPr>
            <w:r>
              <w:rPr>
                <w:rFonts w:hint="eastAsia" w:ascii="宋体" w:hAnsi="宋体" w:cs="宋体"/>
                <w:sz w:val="24"/>
              </w:rPr>
              <w:t xml:space="preserve">收款单位：常州正衡招投标有限公司</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开户银行：招商银行常州北大街支行</w:t>
            </w:r>
            <w:r/>
          </w:p>
          <w:p>
            <w:pPr>
              <w:jc w:val="left"/>
              <w:spacing w:line="360" w:lineRule="exact"/>
            </w:pPr>
            <w:r>
              <w:rPr>
                <w:rFonts w:hint="eastAsia" w:ascii="宋体" w:hAnsi="宋体" w:cs="宋体"/>
                <w:sz w:val="24"/>
              </w:rPr>
              <w:t xml:space="preserve">（5）</w:t>
            </w:r>
            <w:r>
              <w:rPr>
                <w:rFonts w:hint="eastAsia" w:ascii="宋体" w:hAnsi="宋体" w:cs="宋体"/>
                <w:sz w:val="24"/>
                <w:lang w:val="zh-CN"/>
              </w:rPr>
              <w:t xml:space="preserve">中标人如果未按规定交纳代理服务费，招标代理机构将保留诉讼的权利。</w:t>
            </w:r>
            <w:r/>
          </w:p>
        </w:tc>
      </w:tr>
    </w:tbl>
    <w:p>
      <w:pPr>
        <w:ind w:firstLine="482"/>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pgNumType w:start="0"/>
          <w:cols w:num="1" w:sep="0" w:space="720" w:equalWidth="1"/>
          <w:docGrid w:linePitch="360"/>
          <w:titlePg/>
        </w:sectPr>
      </w:pPr>
      <w:r>
        <w:rPr>
          <w:sz w:val="24"/>
        </w:rPr>
      </w:r>
      <w:r/>
    </w:p>
    <w:p>
      <w:pPr>
        <w:ind w:firstLine="562"/>
        <w:jc w:val="center"/>
        <w:spacing w:before="240" w:after="240"/>
        <w:rPr>
          <w:b/>
          <w:sz w:val="28"/>
          <w:szCs w:val="28"/>
        </w:rPr>
      </w:pPr>
      <w:r/>
      <w:bookmarkStart w:id="52" w:name="_Toc150480755"/>
      <w:r/>
      <w:bookmarkStart w:id="53" w:name="_Toc265228355"/>
      <w:r/>
      <w:bookmarkStart w:id="54" w:name="_Toc226965790"/>
      <w:r/>
      <w:bookmarkStart w:id="55" w:name="_Toc226337213"/>
      <w:r/>
      <w:bookmarkStart w:id="56" w:name="_Toc264969207"/>
      <w:r/>
      <w:bookmarkStart w:id="57" w:name="_Toc127151517"/>
      <w:r/>
      <w:bookmarkStart w:id="58" w:name="_Toc195842882"/>
      <w:r/>
      <w:bookmarkStart w:id="59" w:name="_Toc353825542"/>
      <w:r/>
      <w:bookmarkStart w:id="60" w:name="_Toc305158859"/>
      <w:r/>
      <w:bookmarkStart w:id="61" w:name="_Toc150774722"/>
      <w:r/>
      <w:bookmarkStart w:id="62" w:name="_Toc353873932"/>
      <w:r/>
      <w:bookmarkStart w:id="63" w:name="_Toc142311019"/>
      <w:r/>
      <w:bookmarkStart w:id="64" w:name="_Toc353873662"/>
      <w:r/>
      <w:bookmarkStart w:id="65" w:name="_Toc305158785"/>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89"/>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226965708"/>
      <w:r/>
      <w:bookmarkStart w:id="69" w:name="_Toc151193760"/>
      <w:r/>
      <w:bookmarkStart w:id="70" w:name="_Toc150774618"/>
      <w:r/>
      <w:bookmarkStart w:id="71" w:name="_Toc150509269"/>
      <w:r/>
      <w:bookmarkStart w:id="72" w:name="_Toc151193906"/>
      <w:r/>
      <w:bookmarkStart w:id="73" w:name="_Toc151193616"/>
      <w:r/>
      <w:bookmarkStart w:id="74" w:name="_Toc226965791"/>
      <w:r/>
      <w:bookmarkStart w:id="75" w:name="_Toc226309762"/>
      <w:r/>
      <w:bookmarkStart w:id="76" w:name="_Toc195842883"/>
      <w:r/>
      <w:bookmarkStart w:id="77" w:name="_Toc150480756"/>
      <w:r/>
      <w:bookmarkStart w:id="78" w:name="_Toc142311020"/>
      <w:r/>
      <w:bookmarkStart w:id="79" w:name="_Toc265228356"/>
      <w:r/>
      <w:bookmarkStart w:id="80" w:name="_Toc264969208"/>
      <w:r/>
      <w:bookmarkStart w:id="81" w:name="_Toc305158860"/>
      <w:r/>
      <w:bookmarkStart w:id="82" w:name="_Toc151190145"/>
      <w:r/>
      <w:bookmarkStart w:id="83" w:name="_Toc226337214"/>
      <w:r/>
      <w:bookmarkStart w:id="84" w:name="_Toc151193688"/>
      <w:r/>
      <w:bookmarkStart w:id="85" w:name="_Toc305158786"/>
      <w:r/>
      <w:bookmarkStart w:id="86" w:name="_Toc151193832"/>
      <w:r/>
      <w:bookmarkStart w:id="87" w:name="_Toc150774723"/>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8"/>
        </w:numPr>
        <w:ind w:left="357" w:firstLine="482"/>
        <w:spacing w:line="360" w:lineRule="auto"/>
        <w:tabs>
          <w:tab w:val="left" w:pos="360" w:leader="none"/>
          <w:tab w:val="clear" w:pos="900" w:leader="none"/>
        </w:tabs>
        <w:rPr>
          <w:sz w:val="24"/>
        </w:rPr>
        <w:outlineLvl w:val="1"/>
      </w:pPr>
      <w:r/>
      <w:bookmarkStart w:id="88" w:name="_Toc265228357"/>
      <w:r/>
      <w:bookmarkStart w:id="89" w:name="_Toc264969209"/>
      <w:r/>
      <w:bookmarkStart w:id="90" w:name="_Toc305158861"/>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8"/>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8"/>
        </w:numPr>
        <w:ind w:left="357" w:firstLine="482"/>
        <w:spacing w:line="360" w:lineRule="auto"/>
        <w:tabs>
          <w:tab w:val="left" w:pos="360" w:leader="none"/>
          <w:tab w:val="clear" w:pos="900" w:leader="none"/>
        </w:tabs>
        <w:rPr>
          <w:sz w:val="24"/>
        </w:rPr>
        <w:outlineLvl w:val="1"/>
      </w:pPr>
      <w:r/>
      <w:bookmarkStart w:id="92" w:name="_Toc151193690"/>
      <w:r/>
      <w:bookmarkStart w:id="93" w:name="_Toc195842885"/>
      <w:r/>
      <w:bookmarkStart w:id="94" w:name="_Toc264969210"/>
      <w:r/>
      <w:bookmarkStart w:id="95" w:name="_Toc151193908"/>
      <w:r/>
      <w:bookmarkStart w:id="96" w:name="_Toc151190147"/>
      <w:r/>
      <w:bookmarkStart w:id="97" w:name="_Toc150480758"/>
      <w:r/>
      <w:bookmarkStart w:id="98" w:name="_Toc151193834"/>
      <w:r/>
      <w:bookmarkStart w:id="99" w:name="_Toc164608634"/>
      <w:r/>
      <w:bookmarkStart w:id="100" w:name="_Toc305158788"/>
      <w:r/>
      <w:bookmarkStart w:id="101" w:name="_Toc265228358"/>
      <w:r/>
      <w:bookmarkStart w:id="102" w:name="_Toc164229215"/>
      <w:r/>
      <w:bookmarkStart w:id="103" w:name="_Toc305158862"/>
      <w:r/>
      <w:bookmarkStart w:id="104" w:name="_Toc127161434"/>
      <w:r/>
      <w:bookmarkStart w:id="105" w:name="_Toc127151520"/>
      <w:r/>
      <w:bookmarkStart w:id="106" w:name="_Toc150774620"/>
      <w:r/>
      <w:bookmarkStart w:id="107" w:name="_Toc226965710"/>
      <w:r/>
      <w:bookmarkStart w:id="108" w:name="_Toc127151721"/>
      <w:r/>
      <w:bookmarkStart w:id="109" w:name="_Toc151193762"/>
      <w:r/>
      <w:bookmarkStart w:id="110" w:name="_Toc226309764"/>
      <w:r/>
      <w:bookmarkStart w:id="111" w:name="_Toc151193618"/>
      <w:r/>
      <w:bookmarkStart w:id="112" w:name="_Toc149720813"/>
      <w:r/>
      <w:bookmarkStart w:id="113" w:name="_Toc142311022"/>
      <w:r/>
      <w:bookmarkStart w:id="114" w:name="_Toc150509271"/>
      <w:r/>
      <w:bookmarkStart w:id="115" w:name="_Toc150774725"/>
      <w:r/>
      <w:bookmarkStart w:id="116" w:name="_Toc226965793"/>
      <w:r/>
      <w:bookmarkStart w:id="117" w:name="_Toc164608789"/>
      <w:r/>
      <w:bookmarkStart w:id="118" w:name="_Toc164229361"/>
      <w:r/>
      <w:bookmarkStart w:id="119" w:name="_Toc226337216"/>
      <w:r/>
      <w:bookmarkStart w:id="120" w:name="_Toc164351614"/>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8"/>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8"/>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8"/>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8"/>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8"/>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8"/>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305158864"/>
      <w:r/>
      <w:bookmarkStart w:id="122" w:name="_Toc150774622"/>
      <w:r/>
      <w:bookmarkStart w:id="123" w:name="_Toc151193764"/>
      <w:r/>
      <w:bookmarkStart w:id="124" w:name="_Toc151193620"/>
      <w:r/>
      <w:bookmarkStart w:id="125" w:name="_Toc150480760"/>
      <w:r/>
      <w:bookmarkStart w:id="126" w:name="_Toc151190149"/>
      <w:r/>
      <w:bookmarkStart w:id="127" w:name="_Toc264969212"/>
      <w:r/>
      <w:bookmarkStart w:id="128" w:name="_Toc226965795"/>
      <w:r/>
      <w:bookmarkStart w:id="129" w:name="_Toc305158790"/>
      <w:r/>
      <w:bookmarkStart w:id="130" w:name="_Toc150774727"/>
      <w:r/>
      <w:bookmarkStart w:id="131" w:name="_Toc151193692"/>
      <w:r/>
      <w:bookmarkStart w:id="132" w:name="_Toc226965712"/>
      <w:r/>
      <w:bookmarkStart w:id="133" w:name="_Toc265228360"/>
      <w:r/>
      <w:bookmarkStart w:id="134" w:name="_Toc151193910"/>
      <w:r/>
      <w:bookmarkStart w:id="135" w:name="_Toc127151522"/>
      <w:r/>
      <w:bookmarkStart w:id="136" w:name="_Toc142311024"/>
      <w:r/>
      <w:bookmarkStart w:id="137" w:name="_Toc151193836"/>
      <w:r/>
      <w:bookmarkStart w:id="138" w:name="_Toc195842887"/>
      <w:r/>
      <w:bookmarkStart w:id="139" w:name="_Toc150509273"/>
      <w:r/>
      <w:bookmarkStart w:id="140" w:name="_Toc226337218"/>
      <w:r/>
      <w:bookmarkStart w:id="141" w:name="_Toc226309766"/>
      <w:r/>
      <w:bookmarkStart w:id="142" w:name="_Toc520356146"/>
      <w:r/>
      <w:r/>
    </w:p>
    <w:p>
      <w:pPr>
        <w:numPr>
          <w:ilvl w:val="1"/>
          <w:numId w:val="8"/>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firstLine="482"/>
        <w:spacing w:line="360" w:lineRule="auto"/>
        <w:tabs>
          <w:tab w:val="left" w:pos="360" w:leader="none"/>
        </w:tabs>
        <w:rPr>
          <w:sz w:val="24"/>
        </w:rPr>
        <w:outlineLvl w:val="1"/>
      </w:pPr>
      <w:r>
        <w:rPr>
          <w:sz w:val="24"/>
        </w:rPr>
        <w:t xml:space="preserve">样品</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8"/>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8"/>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8"/>
        </w:numPr>
        <w:ind w:firstLine="482"/>
        <w:spacing w:line="360" w:lineRule="auto"/>
        <w:tabs>
          <w:tab w:val="left" w:pos="426" w:leader="none"/>
          <w:tab w:val="clear" w:pos="1980" w:leader="none"/>
        </w:tabs>
        <w:rPr>
          <w:sz w:val="24"/>
        </w:rPr>
        <w:outlineLvl w:val="3"/>
      </w:pPr>
      <w:r>
        <w:rPr>
          <w:sz w:val="24"/>
        </w:rPr>
        <w:t xml:space="preserve">中小企业定义：</w:t>
      </w:r>
      <w:r/>
    </w:p>
    <w:p>
      <w:pPr>
        <w:pStyle w:val="98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0"/>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1"/>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8"/>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2"/>
        <w:spacing w:line="360" w:lineRule="auto"/>
        <w:rPr>
          <w:sz w:val="24"/>
        </w:rPr>
      </w:pPr>
      <w:r>
        <w:rPr>
          <w:sz w:val="24"/>
        </w:rPr>
        <w:t xml:space="preserve">残疾人福利单位定义：享受政府采购支持政策的残疾人福利性单位应当同时满足以下条件：</w:t>
      </w:r>
      <w:r/>
    </w:p>
    <w:p>
      <w:pPr>
        <w:pStyle w:val="983"/>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83"/>
        <w:numPr>
          <w:ilvl w:val="2"/>
          <w:numId w:val="9"/>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firstLine="482"/>
        <w:spacing w:line="360" w:lineRule="auto"/>
        <w:rPr>
          <w:sz w:val="24"/>
        </w:rPr>
      </w:pPr>
      <w:r>
        <w:rPr>
          <w:sz w:val="24"/>
        </w:rPr>
        <w:t xml:space="preserve">本项目是否专门面向中小企业预留采购份额见第一章《投标邀请》。</w:t>
      </w:r>
      <w:r/>
    </w:p>
    <w:p>
      <w:pPr>
        <w:numPr>
          <w:ilvl w:val="2"/>
          <w:numId w:val="8"/>
        </w:numPr>
        <w:ind w:firstLine="482"/>
        <w:spacing w:line="360" w:lineRule="auto"/>
        <w:rPr>
          <w:sz w:val="24"/>
        </w:rPr>
      </w:pPr>
      <w:r>
        <w:rPr>
          <w:sz w:val="24"/>
        </w:rPr>
        <w:t xml:space="preserve">采购标的对应的中小企业划分标准所属行业见《投标人须知资料表》。</w:t>
      </w:r>
      <w:r/>
    </w:p>
    <w:p>
      <w:pPr>
        <w:numPr>
          <w:ilvl w:val="2"/>
          <w:numId w:val="8"/>
        </w:numPr>
        <w:ind w:firstLine="482"/>
        <w:spacing w:line="360" w:lineRule="auto"/>
        <w:rPr>
          <w:sz w:val="24"/>
        </w:rPr>
      </w:pPr>
      <w:r>
        <w:rPr>
          <w:sz w:val="24"/>
        </w:rPr>
        <w:t xml:space="preserve">小微企业价格评审优惠的政策调整：见第四章《评标方法和评标标准》。</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8"/>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8"/>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8"/>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8"/>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8"/>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67"/>
        <w:jc w:val="both"/>
      </w:pPr>
      <w:r/>
      <w:r/>
    </w:p>
    <w:p>
      <w:pPr>
        <w:numPr>
          <w:ilvl w:val="0"/>
          <w:numId w:val="8"/>
        </w:numPr>
        <w:ind w:left="357" w:firstLine="482"/>
        <w:spacing w:line="360" w:lineRule="auto"/>
        <w:tabs>
          <w:tab w:val="left" w:pos="360" w:leader="none"/>
        </w:tabs>
        <w:rPr>
          <w:sz w:val="24"/>
        </w:rPr>
        <w:outlineLvl w:val="1"/>
      </w:pPr>
      <w:r>
        <w:rPr>
          <w:sz w:val="24"/>
        </w:rPr>
        <w:t xml:space="preserve">投标费用</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889"/>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8"/>
        </w:numPr>
        <w:ind w:left="357" w:firstLine="482"/>
        <w:spacing w:line="360" w:lineRule="auto"/>
        <w:tabs>
          <w:tab w:val="left" w:pos="360" w:leader="none"/>
        </w:tabs>
        <w:rPr>
          <w:sz w:val="24"/>
        </w:rPr>
        <w:outlineLvl w:val="1"/>
      </w:pPr>
      <w:r/>
      <w:bookmarkStart w:id="144" w:name="_Toc142311025"/>
      <w:r/>
      <w:bookmarkStart w:id="145" w:name="_Toc164229364"/>
      <w:r/>
      <w:bookmarkStart w:id="146" w:name="_Toc127151724"/>
      <w:r/>
      <w:bookmarkStart w:id="147" w:name="_Toc226965713"/>
      <w:r/>
      <w:bookmarkStart w:id="148" w:name="_Toc127151523"/>
      <w:r/>
      <w:bookmarkStart w:id="149" w:name="_Toc150774623"/>
      <w:r/>
      <w:bookmarkStart w:id="150" w:name="_Toc151193621"/>
      <w:r/>
      <w:bookmarkStart w:id="151" w:name="_Toc127161437"/>
      <w:r/>
      <w:bookmarkStart w:id="152" w:name="_Toc151193765"/>
      <w:r/>
      <w:bookmarkStart w:id="153" w:name="_Toc151193837"/>
      <w:r/>
      <w:bookmarkStart w:id="154" w:name="_Toc164608637"/>
      <w:r/>
      <w:bookmarkStart w:id="155" w:name="_Toc520356147"/>
      <w:r/>
      <w:bookmarkStart w:id="156" w:name="_Toc151190150"/>
      <w:r/>
      <w:bookmarkStart w:id="157" w:name="_Toc226965796"/>
      <w:r/>
      <w:bookmarkStart w:id="158" w:name="_Toc164608792"/>
      <w:r/>
      <w:bookmarkStart w:id="159" w:name="_Toc265228361"/>
      <w:r/>
      <w:bookmarkStart w:id="160" w:name="_Toc149720816"/>
      <w:r/>
      <w:bookmarkStart w:id="161" w:name="_Toc151193911"/>
      <w:r/>
      <w:bookmarkStart w:id="162" w:name="_Toc164229218"/>
      <w:r/>
      <w:bookmarkStart w:id="163" w:name="_Toc151193693"/>
      <w:r/>
      <w:bookmarkStart w:id="164" w:name="_Toc226337219"/>
      <w:r/>
      <w:bookmarkStart w:id="165" w:name="_Toc150509274"/>
      <w:r/>
      <w:bookmarkStart w:id="166" w:name="_Toc150480761"/>
      <w:r/>
      <w:bookmarkStart w:id="167" w:name="_Toc305158791"/>
      <w:r/>
      <w:bookmarkStart w:id="168" w:name="_Toc305158865"/>
      <w:r/>
      <w:bookmarkStart w:id="169" w:name="_Toc195842888"/>
      <w:r/>
      <w:bookmarkStart w:id="170" w:name="_Toc164351617"/>
      <w:r/>
      <w:bookmarkStart w:id="171" w:name="_Toc226309767"/>
      <w:r/>
      <w:bookmarkStart w:id="172" w:name="_Toc150774728"/>
      <w:r/>
      <w:bookmarkStart w:id="173" w:name="_Toc264969213"/>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8"/>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8"/>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8"/>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151193768"/>
      <w:r/>
      <w:bookmarkStart w:id="176" w:name="_Toc264969216"/>
      <w:r/>
      <w:bookmarkStart w:id="177" w:name="_Toc151190153"/>
      <w:r/>
      <w:bookmarkStart w:id="178" w:name="_Toc151193696"/>
      <w:r/>
      <w:bookmarkStart w:id="179" w:name="_Toc150774626"/>
      <w:r/>
      <w:bookmarkStart w:id="180" w:name="_Toc226337222"/>
      <w:r/>
      <w:bookmarkStart w:id="181" w:name="_Toc265228364"/>
      <w:r/>
      <w:bookmarkStart w:id="182" w:name="_Toc305158868"/>
      <w:r/>
      <w:bookmarkStart w:id="183" w:name="_Toc305158794"/>
      <w:r/>
      <w:bookmarkStart w:id="184" w:name="_Toc226965716"/>
      <w:r/>
      <w:bookmarkStart w:id="185" w:name="_Toc520356150"/>
      <w:r/>
      <w:bookmarkStart w:id="186" w:name="_Toc151193624"/>
      <w:r/>
      <w:bookmarkStart w:id="187" w:name="_Toc151193840"/>
      <w:r/>
      <w:bookmarkStart w:id="188" w:name="_Toc226965799"/>
      <w:r/>
      <w:bookmarkStart w:id="189" w:name="_Toc151193914"/>
      <w:r/>
      <w:bookmarkStart w:id="190" w:name="_Toc150509277"/>
      <w:r/>
      <w:bookmarkStart w:id="191" w:name="_Toc226309770"/>
      <w:r/>
      <w:bookmarkStart w:id="192" w:name="_Toc195842891"/>
      <w:r/>
      <w:bookmarkStart w:id="193" w:name="_Toc127151526"/>
      <w:r/>
      <w:bookmarkStart w:id="194" w:name="_Toc142311028"/>
      <w:r/>
      <w:bookmarkStart w:id="195" w:name="_Toc150774731"/>
      <w:r/>
      <w:bookmarkStart w:id="196" w:name="_Toc150480764"/>
      <w:r/>
      <w:r/>
    </w:p>
    <w:p>
      <w:pPr>
        <w:pStyle w:val="889"/>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8"/>
        </w:numPr>
        <w:ind w:left="357" w:firstLine="482"/>
        <w:spacing w:line="360" w:lineRule="auto"/>
        <w:tabs>
          <w:tab w:val="left" w:pos="360" w:leader="none"/>
        </w:tabs>
        <w:rPr>
          <w:sz w:val="24"/>
        </w:rPr>
        <w:outlineLvl w:val="1"/>
      </w:pPr>
      <w:r/>
      <w:bookmarkStart w:id="197" w:name="_Toc127161441"/>
      <w:r/>
      <w:bookmarkStart w:id="198" w:name="_Toc516367021"/>
      <w:r/>
      <w:bookmarkStart w:id="199" w:name="_Toc150509278"/>
      <w:r/>
      <w:bookmarkStart w:id="200" w:name="_Toc151193915"/>
      <w:r/>
      <w:bookmarkStart w:id="201" w:name="_Toc264969217"/>
      <w:r/>
      <w:bookmarkStart w:id="202" w:name="_Toc164229368"/>
      <w:r/>
      <w:bookmarkStart w:id="203" w:name="_Toc195842892"/>
      <w:r/>
      <w:bookmarkStart w:id="204" w:name="_Toc149720820"/>
      <w:r/>
      <w:bookmarkStart w:id="205" w:name="_Toc150774627"/>
      <w:r/>
      <w:bookmarkStart w:id="206" w:name="_Toc226337223"/>
      <w:r/>
      <w:bookmarkStart w:id="207" w:name="_Toc151190154"/>
      <w:r/>
      <w:bookmarkStart w:id="208" w:name="_Toc265228365"/>
      <w:r/>
      <w:bookmarkStart w:id="209" w:name="_Toc226965717"/>
      <w:r/>
      <w:bookmarkStart w:id="210" w:name="_Toc150480765"/>
      <w:r/>
      <w:bookmarkStart w:id="211" w:name="_Toc305158869"/>
      <w:r/>
      <w:bookmarkStart w:id="212" w:name="_Toc127151527"/>
      <w:r/>
      <w:bookmarkStart w:id="213" w:name="_Toc127151728"/>
      <w:r/>
      <w:bookmarkStart w:id="214" w:name="_Toc520356151"/>
      <w:r/>
      <w:bookmarkStart w:id="215" w:name="_Toc226965800"/>
      <w:r/>
      <w:bookmarkStart w:id="216" w:name="_Toc164351621"/>
      <w:r/>
      <w:bookmarkStart w:id="217" w:name="_Toc151193697"/>
      <w:r/>
      <w:bookmarkStart w:id="218" w:name="_Toc151193769"/>
      <w:r/>
      <w:bookmarkStart w:id="219" w:name="_Toc151193625"/>
      <w:r/>
      <w:bookmarkStart w:id="220" w:name="_Toc305158795"/>
      <w:r/>
      <w:bookmarkStart w:id="221" w:name="_Toc164229222"/>
      <w:r/>
      <w:bookmarkStart w:id="222" w:name="_Toc151193841"/>
      <w:r/>
      <w:bookmarkStart w:id="223" w:name="_Toc226309771"/>
      <w:r/>
      <w:bookmarkStart w:id="224" w:name="_Toc164608641"/>
      <w:r/>
      <w:bookmarkStart w:id="225" w:name="_Toc164608796"/>
      <w:r/>
      <w:bookmarkStart w:id="226" w:name="_Toc142311029"/>
      <w:r/>
      <w:bookmarkStart w:id="227" w:name="_Toc150774732"/>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8"/>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8"/>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8"/>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firstLine="482"/>
        <w:spacing w:line="360" w:lineRule="auto"/>
        <w:tabs>
          <w:tab w:val="left" w:pos="360" w:leader="none"/>
        </w:tabs>
        <w:rPr>
          <w:sz w:val="24"/>
        </w:rPr>
        <w:outlineLvl w:val="1"/>
      </w:pPr>
      <w:r/>
      <w:bookmarkStart w:id="228" w:name="_Toc516367022"/>
      <w:r/>
      <w:bookmarkStart w:id="229" w:name="_Ref467306676"/>
      <w:r/>
      <w:bookmarkStart w:id="230" w:name="_Ref467306195"/>
      <w:r/>
      <w:bookmarkStart w:id="231" w:name="_Toc151193916"/>
      <w:r/>
      <w:bookmarkStart w:id="232" w:name="_Toc149720821"/>
      <w:r/>
      <w:bookmarkStart w:id="233" w:name="_Toc150509279"/>
      <w:r/>
      <w:bookmarkStart w:id="234" w:name="_Toc127151729"/>
      <w:r/>
      <w:bookmarkStart w:id="235" w:name="_Toc151193770"/>
      <w:r/>
      <w:bookmarkStart w:id="236" w:name="_Toc520356152"/>
      <w:r/>
      <w:bookmarkStart w:id="237" w:name="_Toc164229369"/>
      <w:r/>
      <w:bookmarkStart w:id="238" w:name="_Toc164229223"/>
      <w:r/>
      <w:bookmarkStart w:id="239" w:name="_Toc265228366"/>
      <w:r/>
      <w:bookmarkStart w:id="240" w:name="_Toc151193842"/>
      <w:r/>
      <w:bookmarkStart w:id="241" w:name="_Toc164351622"/>
      <w:r/>
      <w:bookmarkStart w:id="242" w:name="_Toc150774628"/>
      <w:r/>
      <w:bookmarkStart w:id="243" w:name="_Toc142311030"/>
      <w:r/>
      <w:bookmarkStart w:id="244" w:name="_Toc164608642"/>
      <w:r/>
      <w:bookmarkStart w:id="245" w:name="_Toc226309772"/>
      <w:r/>
      <w:bookmarkStart w:id="246" w:name="_Toc226965718"/>
      <w:r/>
      <w:bookmarkStart w:id="247" w:name="_Toc264969218"/>
      <w:r/>
      <w:bookmarkStart w:id="248" w:name="_Toc150774733"/>
      <w:r/>
      <w:bookmarkStart w:id="249" w:name="_Toc150480766"/>
      <w:r/>
      <w:bookmarkStart w:id="250" w:name="_Toc305158796"/>
      <w:r/>
      <w:bookmarkStart w:id="251" w:name="_Toc164608797"/>
      <w:r/>
      <w:bookmarkStart w:id="252" w:name="_Toc127151528"/>
      <w:r/>
      <w:bookmarkStart w:id="253" w:name="_Toc226337224"/>
      <w:r/>
      <w:bookmarkStart w:id="254" w:name="_Toc151193626"/>
      <w:r/>
      <w:bookmarkStart w:id="255" w:name="_Toc151190155"/>
      <w:r/>
      <w:bookmarkStart w:id="256" w:name="_Toc195842893"/>
      <w:r/>
      <w:bookmarkStart w:id="257" w:name="_Toc305158870"/>
      <w:r/>
      <w:bookmarkStart w:id="258" w:name="_Toc226965801"/>
      <w:r/>
      <w:bookmarkStart w:id="259" w:name="_Toc127161442"/>
      <w:r/>
      <w:bookmarkStart w:id="260" w:name="_Toc151193698"/>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8"/>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8"/>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8"/>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8"/>
        </w:numPr>
        <w:ind w:left="357" w:firstLine="482"/>
        <w:spacing w:line="360" w:lineRule="auto"/>
        <w:tabs>
          <w:tab w:val="left" w:pos="360" w:leader="none"/>
        </w:tabs>
        <w:rPr>
          <w:sz w:val="24"/>
        </w:rPr>
        <w:outlineLvl w:val="1"/>
      </w:pPr>
      <w:r/>
      <w:bookmarkStart w:id="262" w:name="_Toc151190157"/>
      <w:r/>
      <w:bookmarkStart w:id="263" w:name="_Toc164608644"/>
      <w:r/>
      <w:bookmarkStart w:id="264" w:name="_Toc149720823"/>
      <w:r/>
      <w:bookmarkStart w:id="265" w:name="_Toc150774630"/>
      <w:r/>
      <w:bookmarkStart w:id="266" w:name="_Toc151193772"/>
      <w:r/>
      <w:bookmarkStart w:id="267" w:name="_Toc127161444"/>
      <w:r/>
      <w:bookmarkStart w:id="268" w:name="_Toc195842895"/>
      <w:r/>
      <w:bookmarkStart w:id="269" w:name="_Toc164229225"/>
      <w:r/>
      <w:bookmarkStart w:id="270" w:name="_Toc164351624"/>
      <w:r/>
      <w:bookmarkStart w:id="271" w:name="_Toc150480768"/>
      <w:r/>
      <w:bookmarkStart w:id="272" w:name="_Toc142311032"/>
      <w:r/>
      <w:bookmarkStart w:id="273" w:name="_Toc520356155"/>
      <w:r/>
      <w:bookmarkStart w:id="274" w:name="_Toc150774735"/>
      <w:r/>
      <w:bookmarkStart w:id="275" w:name="_Toc151193918"/>
      <w:r/>
      <w:bookmarkStart w:id="276" w:name="_Toc151193700"/>
      <w:r/>
      <w:bookmarkStart w:id="277" w:name="_Toc150509281"/>
      <w:r/>
      <w:bookmarkStart w:id="278" w:name="_Toc151193844"/>
      <w:r/>
      <w:bookmarkStart w:id="279" w:name="_Toc151193628"/>
      <w:r/>
      <w:bookmarkStart w:id="280" w:name="_Toc164608799"/>
      <w:r/>
      <w:bookmarkStart w:id="281" w:name="_Toc164229371"/>
      <w:r/>
      <w:bookmarkStart w:id="282" w:name="_Toc127151731"/>
      <w:r/>
      <w:bookmarkStart w:id="283" w:name="_Toc127151530"/>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8"/>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firstLine="482"/>
        <w:spacing w:line="360" w:lineRule="auto"/>
        <w:rPr>
          <w:sz w:val="24"/>
        </w:rPr>
        <w:outlineLvl w:val="3"/>
      </w:pPr>
      <w:r>
        <w:rPr>
          <w:sz w:val="24"/>
        </w:rPr>
        <w:t xml:space="preserve">按照招标文件要求完成本项目的全部相关服务费用。 </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left="357" w:firstLine="482"/>
        <w:spacing w:line="360" w:lineRule="auto"/>
        <w:tabs>
          <w:tab w:val="left" w:pos="1080" w:leader="none"/>
          <w:tab w:val="left" w:pos="2014" w:leader="none"/>
        </w:tabs>
        <w:rPr>
          <w:sz w:val="24"/>
        </w:rPr>
      </w:pPr>
      <w:r>
        <w:rPr>
          <w:rFonts w:hint="eastAsia"/>
          <w:sz w:val="24"/>
        </w:rPr>
        <w:t xml:space="preserve">11.5</w:t>
      </w:r>
      <w:r>
        <w:rPr>
          <w:sz w:val="24"/>
        </w:rPr>
        <w:t xml:space="preserve">评审过程中出现下列情形之一的，评审</w:t>
      </w:r>
      <w:r>
        <w:rPr>
          <w:rFonts w:hint="eastAsia"/>
          <w:sz w:val="24"/>
        </w:rPr>
        <w:t xml:space="preserve">小组</w:t>
      </w:r>
      <w:r>
        <w:rPr>
          <w:sz w:val="24"/>
        </w:rPr>
        <w:t xml:space="preserve">应当动异常低价响应审查程序： </w:t>
      </w:r>
      <w:r/>
    </w:p>
    <w:p>
      <w:pPr>
        <w:ind w:left="357" w:firstLine="482"/>
        <w:spacing w:line="360" w:lineRule="auto"/>
        <w:tabs>
          <w:tab w:val="left" w:pos="1080" w:leader="none"/>
          <w:tab w:val="left" w:pos="2014" w:leader="none"/>
        </w:tabs>
        <w:rPr>
          <w:sz w:val="24"/>
        </w:rPr>
      </w:pPr>
      <w:r>
        <w:rPr>
          <w:rFonts w:hint="eastAsia"/>
          <w:sz w:val="24"/>
        </w:rPr>
        <w:t xml:space="preserve">11.5.1投标</w:t>
      </w:r>
      <w:r>
        <w:rPr>
          <w:sz w:val="24"/>
        </w:rPr>
        <w:t xml:space="preserve">报价低于采购项目预算50%的，即</w:t>
      </w:r>
      <w:r>
        <w:rPr>
          <w:rFonts w:hint="eastAsia"/>
          <w:sz w:val="24"/>
        </w:rPr>
        <w:t xml:space="preserve">投标</w:t>
      </w:r>
      <w:r>
        <w:rPr>
          <w:sz w:val="24"/>
        </w:rPr>
        <w:t xml:space="preserve">报价&lt;采购项目预算×50%； </w:t>
      </w:r>
      <w:r/>
    </w:p>
    <w:p>
      <w:pPr>
        <w:ind w:left="357" w:firstLine="482"/>
        <w:spacing w:line="360" w:lineRule="auto"/>
        <w:tabs>
          <w:tab w:val="left" w:pos="1080" w:leader="none"/>
          <w:tab w:val="left" w:pos="2014" w:leader="none"/>
        </w:tabs>
        <w:rPr>
          <w:sz w:val="24"/>
        </w:rPr>
      </w:pPr>
      <w:r>
        <w:rPr>
          <w:rFonts w:hint="eastAsia"/>
          <w:sz w:val="24"/>
        </w:rPr>
        <w:t xml:space="preserve">11.5.2投标</w:t>
      </w:r>
      <w:r>
        <w:rPr>
          <w:sz w:val="24"/>
        </w:rPr>
        <w:t xml:space="preserve">报价低于采购项目最高限价45%的，即</w:t>
      </w:r>
      <w:r>
        <w:rPr>
          <w:rFonts w:hint="eastAsia"/>
          <w:sz w:val="24"/>
        </w:rPr>
        <w:t xml:space="preserve">投标</w:t>
      </w:r>
      <w:r>
        <w:rPr>
          <w:sz w:val="24"/>
        </w:rPr>
        <w:t xml:space="preserve">报价&lt;采购项目最高限价×45%； </w:t>
      </w:r>
      <w:r/>
    </w:p>
    <w:p>
      <w:pPr>
        <w:ind w:left="357" w:firstLine="482"/>
        <w:spacing w:line="360" w:lineRule="auto"/>
        <w:tabs>
          <w:tab w:val="left" w:pos="1080" w:leader="none"/>
          <w:tab w:val="left" w:pos="2014" w:leader="none"/>
        </w:tabs>
        <w:rPr>
          <w:sz w:val="24"/>
        </w:rPr>
      </w:pPr>
      <w:r>
        <w:rPr>
          <w:rFonts w:hint="eastAsia"/>
          <w:sz w:val="24"/>
        </w:rPr>
        <w:t xml:space="preserve">11.5.3评审小组</w:t>
      </w:r>
      <w:r>
        <w:rPr>
          <w:sz w:val="24"/>
        </w:rPr>
        <w:t xml:space="preserve">认定的</w:t>
      </w:r>
      <w:r>
        <w:rPr>
          <w:rFonts w:hint="eastAsia"/>
          <w:sz w:val="24"/>
        </w:rPr>
        <w:t xml:space="preserve">投标人</w:t>
      </w:r>
      <w:r>
        <w:rPr>
          <w:sz w:val="24"/>
        </w:rPr>
        <w:t xml:space="preserve">报价过低、有可能影响产品质量或者不能诚信履约的其他情形。 </w:t>
      </w:r>
      <w:r/>
    </w:p>
    <w:p>
      <w:pPr>
        <w:ind w:left="357" w:firstLine="482"/>
        <w:spacing w:line="360" w:lineRule="auto"/>
        <w:tabs>
          <w:tab w:val="left" w:pos="1080" w:leader="none"/>
          <w:tab w:val="left" w:pos="2014" w:leader="none"/>
        </w:tabs>
        <w:rPr>
          <w:sz w:val="24"/>
        </w:rPr>
      </w:pPr>
      <w:r>
        <w:rPr>
          <w:rFonts w:hint="eastAsia"/>
          <w:sz w:val="24"/>
        </w:rPr>
        <w:t xml:space="preserve">11.6</w:t>
      </w:r>
      <w:r>
        <w:rPr>
          <w:sz w:val="24"/>
        </w:rPr>
        <w:t xml:space="preserve">启动异常低价响应审查后</w:t>
      </w:r>
      <w:r>
        <w:rPr>
          <w:rFonts w:hint="eastAsia"/>
          <w:sz w:val="24"/>
        </w:rPr>
        <w:t xml:space="preserve">，评审小组</w:t>
      </w:r>
      <w:r>
        <w:rPr>
          <w:sz w:val="24"/>
        </w:rPr>
        <w:t xml:space="preserve">应当要求相关</w:t>
      </w:r>
      <w:r>
        <w:rPr>
          <w:rFonts w:hint="eastAsia"/>
          <w:sz w:val="24"/>
        </w:rPr>
        <w:t xml:space="preserve">投标人</w:t>
      </w:r>
      <w:r>
        <w:rPr>
          <w:sz w:val="24"/>
        </w:rPr>
        <w:t xml:space="preserve">在</w:t>
      </w:r>
      <w:r>
        <w:rPr>
          <w:rFonts w:hint="eastAsia"/>
          <w:sz w:val="24"/>
        </w:rPr>
        <w:t xml:space="preserve">评审小组规定</w:t>
      </w:r>
      <w:r>
        <w:rPr>
          <w:sz w:val="24"/>
        </w:rPr>
        <w:t xml:space="preserve">的时间内，提供项目具体成本测算等与报价合理性相关的书面说明及相关证明材料，对</w:t>
      </w:r>
      <w:r>
        <w:rPr>
          <w:rFonts w:hint="eastAsia"/>
          <w:sz w:val="24"/>
        </w:rPr>
        <w:t xml:space="preserve">投标</w:t>
      </w:r>
      <w:r>
        <w:rPr>
          <w:sz w:val="24"/>
        </w:rPr>
        <w:t xml:space="preserve">价格作出解释，由</w:t>
      </w:r>
      <w:r>
        <w:rPr>
          <w:rFonts w:hint="eastAsia"/>
          <w:sz w:val="24"/>
        </w:rPr>
        <w:t xml:space="preserve">评审小组</w:t>
      </w:r>
      <w:r>
        <w:rPr>
          <w:sz w:val="24"/>
        </w:rPr>
        <w:t xml:space="preserve">结合同类产品在主要电商平台的价格、该行业当地薪资水平等情况，依据专业经验对</w:t>
      </w:r>
      <w:r>
        <w:rPr>
          <w:rFonts w:hint="eastAsia"/>
          <w:sz w:val="24"/>
        </w:rPr>
        <w:t xml:space="preserve">投标人</w:t>
      </w:r>
      <w:r>
        <w:rPr>
          <w:sz w:val="24"/>
        </w:rPr>
        <w:t xml:space="preserve">报价合理性进行判断。</w:t>
      </w:r>
      <w:r>
        <w:rPr>
          <w:rFonts w:hint="eastAsia"/>
          <w:sz w:val="24"/>
        </w:rPr>
        <w:t xml:space="preserve">投标人</w:t>
      </w:r>
      <w:r>
        <w:rPr>
          <w:sz w:val="24"/>
        </w:rPr>
        <w:t xml:space="preserve">不提供书面说明、证明材料，或者提供的书面说明、证明材料不能证明其报价合理性的，</w:t>
      </w:r>
      <w:r>
        <w:rPr>
          <w:rFonts w:hint="eastAsia"/>
          <w:sz w:val="24"/>
        </w:rPr>
        <w:t xml:space="preserve">评审小组</w:t>
      </w:r>
      <w:r>
        <w:rPr>
          <w:sz w:val="24"/>
        </w:rPr>
        <w:t xml:space="preserve">应当将其作为无效响应处理。审查相关情况应当在评审报告中进行记录。</w:t>
      </w:r>
      <w:r/>
    </w:p>
    <w:p>
      <w:pPr>
        <w:numPr>
          <w:ilvl w:val="0"/>
          <w:numId w:val="8"/>
        </w:numPr>
        <w:ind w:left="357" w:firstLine="482"/>
        <w:spacing w:line="360" w:lineRule="auto"/>
        <w:tabs>
          <w:tab w:val="left" w:pos="360" w:leader="none"/>
        </w:tabs>
        <w:rPr>
          <w:sz w:val="24"/>
        </w:rPr>
        <w:outlineLvl w:val="1"/>
      </w:pPr>
      <w:r/>
      <w:bookmarkStart w:id="284" w:name="_Toc150509282"/>
      <w:r/>
      <w:bookmarkStart w:id="285" w:name="_Toc164229372"/>
      <w:r/>
      <w:bookmarkStart w:id="286" w:name="_Toc142311033"/>
      <w:r/>
      <w:bookmarkStart w:id="287" w:name="_Toc150774631"/>
      <w:r/>
      <w:bookmarkStart w:id="288" w:name="_Toc150774736"/>
      <w:r/>
      <w:bookmarkStart w:id="289" w:name="_Toc226337227"/>
      <w:r/>
      <w:bookmarkStart w:id="290" w:name="_Toc265228369"/>
      <w:r/>
      <w:bookmarkStart w:id="291" w:name="_Toc305158799"/>
      <w:r/>
      <w:bookmarkStart w:id="292" w:name="_Toc151193629"/>
      <w:r/>
      <w:bookmarkStart w:id="293" w:name="_Toc520356156"/>
      <w:r/>
      <w:bookmarkStart w:id="294" w:name="_Toc164229226"/>
      <w:r/>
      <w:bookmarkStart w:id="295" w:name="_Toc150480769"/>
      <w:r/>
      <w:bookmarkStart w:id="296" w:name="_Ref467306513"/>
      <w:r/>
      <w:bookmarkStart w:id="297" w:name="_Toc226965804"/>
      <w:r/>
      <w:bookmarkStart w:id="298" w:name="_Toc151193773"/>
      <w:r/>
      <w:bookmarkStart w:id="299" w:name="_Toc164608645"/>
      <w:r/>
      <w:bookmarkStart w:id="300" w:name="_Toc226309775"/>
      <w:r/>
      <w:bookmarkStart w:id="301" w:name="_Toc127161445"/>
      <w:r/>
      <w:bookmarkStart w:id="302" w:name="_Toc151193701"/>
      <w:r/>
      <w:bookmarkStart w:id="303" w:name="_Toc151190158"/>
      <w:r/>
      <w:bookmarkStart w:id="304" w:name="_Toc264969221"/>
      <w:r/>
      <w:bookmarkStart w:id="305" w:name="_Toc149720824"/>
      <w:r/>
      <w:bookmarkStart w:id="306" w:name="_Toc164608800"/>
      <w:r/>
      <w:bookmarkStart w:id="307" w:name="_Toc226965721"/>
      <w:r/>
      <w:bookmarkStart w:id="308" w:name="_Toc151193845"/>
      <w:r/>
      <w:bookmarkStart w:id="309" w:name="_Toc151193919"/>
      <w:r/>
      <w:bookmarkStart w:id="310" w:name="_Toc127151531"/>
      <w:r/>
      <w:bookmarkStart w:id="311" w:name="_Toc127151732"/>
      <w:r/>
      <w:bookmarkStart w:id="312" w:name="_Toc195842896"/>
      <w:r/>
      <w:bookmarkStart w:id="313" w:name="_Toc164351625"/>
      <w:r/>
      <w:bookmarkStart w:id="314" w:name="_Toc305158873"/>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8"/>
        </w:numPr>
        <w:ind w:left="357" w:firstLine="482"/>
        <w:spacing w:line="360" w:lineRule="auto"/>
        <w:tabs>
          <w:tab w:val="left" w:pos="360" w:leader="none"/>
        </w:tabs>
        <w:rPr>
          <w:sz w:val="24"/>
        </w:rPr>
        <w:outlineLvl w:val="1"/>
      </w:pPr>
      <w:r/>
      <w:bookmarkStart w:id="315" w:name="_Toc149720825"/>
      <w:r/>
      <w:bookmarkStart w:id="316" w:name="_Toc151193846"/>
      <w:r/>
      <w:bookmarkStart w:id="317" w:name="_Toc150509283"/>
      <w:r/>
      <w:bookmarkStart w:id="318" w:name="_Toc164229373"/>
      <w:r/>
      <w:bookmarkStart w:id="319" w:name="_Toc151193630"/>
      <w:r/>
      <w:bookmarkStart w:id="320" w:name="_Toc226965722"/>
      <w:r/>
      <w:bookmarkStart w:id="321" w:name="_Toc151193702"/>
      <w:r/>
      <w:bookmarkStart w:id="322" w:name="_Toc151190159"/>
      <w:r/>
      <w:bookmarkStart w:id="323" w:name="_Toc305158800"/>
      <w:r/>
      <w:bookmarkStart w:id="324" w:name="_Toc164608646"/>
      <w:r/>
      <w:bookmarkStart w:id="325" w:name="_Toc305158874"/>
      <w:r/>
      <w:bookmarkStart w:id="326" w:name="_Toc195842897"/>
      <w:r/>
      <w:bookmarkStart w:id="327" w:name="_Toc164608801"/>
      <w:r/>
      <w:bookmarkStart w:id="328" w:name="_Toc127151733"/>
      <w:r/>
      <w:bookmarkStart w:id="329" w:name="_Toc151193920"/>
      <w:r/>
      <w:bookmarkStart w:id="330" w:name="_Toc142311034"/>
      <w:r/>
      <w:bookmarkStart w:id="331" w:name="_Toc164351626"/>
      <w:r/>
      <w:bookmarkStart w:id="332" w:name="_Toc264969222"/>
      <w:r/>
      <w:bookmarkStart w:id="333" w:name="_Toc520356157"/>
      <w:r/>
      <w:bookmarkStart w:id="334" w:name="_Toc127151532"/>
      <w:r/>
      <w:bookmarkStart w:id="335" w:name="_Toc151193774"/>
      <w:r/>
      <w:bookmarkStart w:id="336" w:name="_Toc150774632"/>
      <w:r/>
      <w:bookmarkStart w:id="337" w:name="_Toc150480770"/>
      <w:r/>
      <w:bookmarkStart w:id="338" w:name="_Toc226337228"/>
      <w:r/>
      <w:bookmarkStart w:id="339" w:name="_Toc265228370"/>
      <w:r/>
      <w:bookmarkStart w:id="340" w:name="_Toc150774737"/>
      <w:r/>
      <w:bookmarkStart w:id="341" w:name="_Toc127161446"/>
      <w:r/>
      <w:bookmarkStart w:id="342" w:name="_Toc226965805"/>
      <w:r/>
      <w:bookmarkStart w:id="343" w:name="_Toc226309776"/>
      <w:r/>
      <w:bookmarkStart w:id="344" w:name="_Toc164229227"/>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8"/>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8"/>
        </w:numPr>
        <w:ind w:left="357" w:firstLine="482"/>
        <w:spacing w:line="360" w:lineRule="auto"/>
        <w:tabs>
          <w:tab w:val="left" w:pos="360" w:leader="none"/>
        </w:tabs>
        <w:rPr>
          <w:sz w:val="24"/>
        </w:rPr>
        <w:outlineLvl w:val="1"/>
      </w:pPr>
      <w:r/>
      <w:bookmarkStart w:id="345" w:name="_Toc226965723"/>
      <w:r/>
      <w:bookmarkStart w:id="346" w:name="_Toc151193631"/>
      <w:r/>
      <w:bookmarkStart w:id="347" w:name="_Toc150774738"/>
      <w:r/>
      <w:bookmarkStart w:id="348" w:name="_Toc150509284"/>
      <w:r/>
      <w:bookmarkStart w:id="349" w:name="_Toc305158801"/>
      <w:r/>
      <w:bookmarkStart w:id="350" w:name="_Toc164608647"/>
      <w:r/>
      <w:bookmarkStart w:id="351" w:name="_Toc151193847"/>
      <w:r/>
      <w:bookmarkStart w:id="352" w:name="_Toc164608802"/>
      <w:r/>
      <w:bookmarkStart w:id="353" w:name="_Toc151193921"/>
      <w:r/>
      <w:bookmarkStart w:id="354" w:name="_Toc520356158"/>
      <w:r/>
      <w:bookmarkStart w:id="355" w:name="_Toc195842898"/>
      <w:r/>
      <w:bookmarkStart w:id="356" w:name="_Toc264969223"/>
      <w:r/>
      <w:bookmarkStart w:id="357" w:name="_Toc305158875"/>
      <w:r/>
      <w:bookmarkStart w:id="358" w:name="_Toc265228371"/>
      <w:r/>
      <w:bookmarkStart w:id="359" w:name="_Toc164229374"/>
      <w:r/>
      <w:bookmarkStart w:id="360" w:name="_Toc226965806"/>
      <w:r/>
      <w:bookmarkStart w:id="361" w:name="_Toc150774633"/>
      <w:r/>
      <w:bookmarkStart w:id="362" w:name="_Toc127151533"/>
      <w:r/>
      <w:bookmarkStart w:id="363" w:name="_Toc142311035"/>
      <w:r/>
      <w:bookmarkStart w:id="364" w:name="_Toc150480771"/>
      <w:r/>
      <w:bookmarkStart w:id="365" w:name="_Toc226309777"/>
      <w:r/>
      <w:bookmarkStart w:id="366" w:name="_Toc164351627"/>
      <w:r/>
      <w:bookmarkStart w:id="367" w:name="_Toc127161447"/>
      <w:r/>
      <w:bookmarkStart w:id="368" w:name="_Toc226337229"/>
      <w:r/>
      <w:bookmarkStart w:id="369" w:name="_Toc151190160"/>
      <w:r/>
      <w:bookmarkStart w:id="370" w:name="_Toc164229228"/>
      <w:r/>
      <w:bookmarkStart w:id="371" w:name="_Toc151193703"/>
      <w:r/>
      <w:bookmarkStart w:id="372" w:name="_Toc127151734"/>
      <w:r/>
      <w:bookmarkStart w:id="373" w:name="_Toc151193775"/>
      <w:r/>
      <w:bookmarkStart w:id="374" w:name="_Toc149720826"/>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8"/>
        </w:numPr>
        <w:ind w:left="1077" w:firstLine="482"/>
        <w:spacing w:line="360" w:lineRule="auto"/>
        <w:tabs>
          <w:tab w:val="left" w:pos="1080" w:leader="none"/>
          <w:tab w:val="left" w:pos="2014" w:leader="none"/>
        </w:tabs>
        <w:rPr>
          <w:sz w:val="24"/>
        </w:rPr>
      </w:pPr>
      <w:r/>
      <w:bookmarkStart w:id="375" w:name="_Toc151193704"/>
      <w:r/>
      <w:bookmarkStart w:id="376" w:name="_Toc226965807"/>
      <w:r/>
      <w:bookmarkStart w:id="377" w:name="_Toc142311036"/>
      <w:r/>
      <w:bookmarkStart w:id="378" w:name="_Toc520356159"/>
      <w:r/>
      <w:bookmarkStart w:id="379" w:name="_Toc151193632"/>
      <w:r/>
      <w:bookmarkStart w:id="380" w:name="_Toc305158876"/>
      <w:r/>
      <w:bookmarkStart w:id="381" w:name="_Toc151193848"/>
      <w:r/>
      <w:bookmarkStart w:id="382" w:name="_Toc226309778"/>
      <w:r/>
      <w:bookmarkStart w:id="383" w:name="_Toc265228372"/>
      <w:r/>
      <w:bookmarkStart w:id="384" w:name="_Toc264969224"/>
      <w:r/>
      <w:bookmarkStart w:id="385" w:name="_Toc151190161"/>
      <w:r/>
      <w:bookmarkStart w:id="386" w:name="_Toc150774739"/>
      <w:r/>
      <w:bookmarkStart w:id="387" w:name="_Toc151193776"/>
      <w:r/>
      <w:bookmarkStart w:id="388" w:name="_Toc226965724"/>
      <w:r/>
      <w:bookmarkStart w:id="389" w:name="_Toc226337230"/>
      <w:r/>
      <w:bookmarkStart w:id="390" w:name="_Toc150509285"/>
      <w:r/>
      <w:bookmarkStart w:id="391" w:name="_Toc150480772"/>
      <w:r/>
      <w:bookmarkStart w:id="392" w:name="_Toc127151534"/>
      <w:r/>
      <w:bookmarkStart w:id="393" w:name="_Toc195842899"/>
      <w:r/>
      <w:bookmarkStart w:id="394" w:name="_Toc151193922"/>
      <w:r/>
      <w:bookmarkStart w:id="395" w:name="_Toc150774634"/>
      <w:r/>
      <w:bookmarkStart w:id="396" w:name="_Toc30515880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8"/>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889"/>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8"/>
        </w:numPr>
        <w:ind w:left="357" w:firstLine="482"/>
        <w:spacing w:line="360" w:lineRule="auto"/>
        <w:tabs>
          <w:tab w:val="left" w:pos="360" w:leader="none"/>
        </w:tabs>
        <w:rPr>
          <w:sz w:val="24"/>
        </w:rPr>
        <w:outlineLvl w:val="1"/>
      </w:pPr>
      <w:r/>
      <w:bookmarkStart w:id="397" w:name="_Toc127151535"/>
      <w:r/>
      <w:bookmarkStart w:id="398" w:name="_Toc151193705"/>
      <w:r/>
      <w:bookmarkStart w:id="399" w:name="_Toc164608649"/>
      <w:r/>
      <w:bookmarkStart w:id="400" w:name="_Toc305158803"/>
      <w:r/>
      <w:bookmarkStart w:id="401" w:name="_Toc305158877"/>
      <w:r/>
      <w:bookmarkStart w:id="402" w:name="_Toc164229230"/>
      <w:r/>
      <w:bookmarkStart w:id="403" w:name="_Toc151193777"/>
      <w:r/>
      <w:bookmarkStart w:id="404" w:name="_Toc149720828"/>
      <w:r/>
      <w:bookmarkStart w:id="405" w:name="_Toc150509286"/>
      <w:r/>
      <w:bookmarkStart w:id="406" w:name="_Toc520356160"/>
      <w:r/>
      <w:bookmarkStart w:id="407" w:name="_Toc127151736"/>
      <w:r/>
      <w:bookmarkStart w:id="408" w:name="_Toc164608804"/>
      <w:r/>
      <w:bookmarkStart w:id="409" w:name="_Toc151193923"/>
      <w:r/>
      <w:bookmarkStart w:id="410" w:name="_Toc151193849"/>
      <w:r/>
      <w:bookmarkStart w:id="411" w:name="_Toc226965725"/>
      <w:r/>
      <w:bookmarkStart w:id="412" w:name="_Toc226965808"/>
      <w:r/>
      <w:bookmarkStart w:id="413" w:name="_Toc164351629"/>
      <w:r/>
      <w:bookmarkStart w:id="414" w:name="_Toc195842900"/>
      <w:r/>
      <w:bookmarkStart w:id="415" w:name="_Toc226337231"/>
      <w:r/>
      <w:bookmarkStart w:id="416" w:name="_Toc265228373"/>
      <w:r/>
      <w:bookmarkStart w:id="417" w:name="_Toc151190162"/>
      <w:r/>
      <w:bookmarkStart w:id="418" w:name="_Toc226309779"/>
      <w:r/>
      <w:bookmarkStart w:id="419" w:name="_Toc264969225"/>
      <w:r/>
      <w:bookmarkStart w:id="420" w:name="_Toc142311037"/>
      <w:r/>
      <w:bookmarkStart w:id="421" w:name="_Toc164229376"/>
      <w:r/>
      <w:bookmarkStart w:id="422" w:name="_Toc150774635"/>
      <w:r/>
      <w:bookmarkStart w:id="423" w:name="_Toc150774740"/>
      <w:r/>
      <w:bookmarkStart w:id="424" w:name="_Toc151193633"/>
      <w:r/>
      <w:bookmarkStart w:id="425" w:name="_Toc150480773"/>
      <w:r/>
      <w:bookmarkStart w:id="426" w:name="_Toc127161449"/>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8"/>
        </w:numPr>
        <w:ind w:left="357" w:firstLine="482"/>
        <w:spacing w:line="360" w:lineRule="auto"/>
        <w:tabs>
          <w:tab w:val="left" w:pos="360" w:leader="none"/>
        </w:tabs>
        <w:rPr>
          <w:sz w:val="24"/>
        </w:rPr>
        <w:outlineLvl w:val="1"/>
      </w:pPr>
      <w:r/>
      <w:bookmarkStart w:id="427" w:name="_Toc151193634"/>
      <w:r/>
      <w:bookmarkStart w:id="428" w:name="_Toc164229231"/>
      <w:r/>
      <w:bookmarkStart w:id="429" w:name="_Toc226965726"/>
      <w:r/>
      <w:bookmarkStart w:id="430" w:name="_Toc164351630"/>
      <w:r/>
      <w:bookmarkStart w:id="431" w:name="_Toc164608805"/>
      <w:r/>
      <w:bookmarkStart w:id="432" w:name="_Toc164229377"/>
      <w:r/>
      <w:bookmarkStart w:id="433" w:name="_Toc226965809"/>
      <w:r/>
      <w:bookmarkStart w:id="434" w:name="_Toc127151737"/>
      <w:r/>
      <w:bookmarkStart w:id="435" w:name="_Toc127151536"/>
      <w:r/>
      <w:bookmarkStart w:id="436" w:name="_Toc150480774"/>
      <w:r/>
      <w:bookmarkStart w:id="437" w:name="_Toc127161450"/>
      <w:r/>
      <w:bookmarkStart w:id="438" w:name="_Toc151193778"/>
      <w:r/>
      <w:bookmarkStart w:id="439" w:name="_Toc150774636"/>
      <w:r/>
      <w:bookmarkStart w:id="440" w:name="_Toc150774741"/>
      <w:r/>
      <w:bookmarkStart w:id="441" w:name="_Toc305158804"/>
      <w:r/>
      <w:bookmarkStart w:id="442" w:name="_Toc164608650"/>
      <w:r/>
      <w:bookmarkStart w:id="443" w:name="_Toc226309780"/>
      <w:r/>
      <w:bookmarkStart w:id="444" w:name="_Toc151193706"/>
      <w:r/>
      <w:bookmarkStart w:id="445" w:name="_Toc151193924"/>
      <w:r/>
      <w:bookmarkStart w:id="446" w:name="_Toc142311038"/>
      <w:r/>
      <w:bookmarkStart w:id="447" w:name="_Toc151190163"/>
      <w:r/>
      <w:bookmarkStart w:id="448" w:name="_Toc150509287"/>
      <w:r/>
      <w:bookmarkStart w:id="449" w:name="_Toc520356161"/>
      <w:r/>
      <w:bookmarkStart w:id="450" w:name="_Toc305158878"/>
      <w:r/>
      <w:bookmarkStart w:id="451" w:name="_Toc149720829"/>
      <w:r/>
      <w:bookmarkStart w:id="452" w:name="_Toc264969226"/>
      <w:r/>
      <w:bookmarkStart w:id="453" w:name="_Toc195842901"/>
      <w:r/>
      <w:bookmarkStart w:id="454" w:name="_Toc151193850"/>
      <w:r/>
      <w:bookmarkStart w:id="455" w:name="_Toc265228374"/>
      <w:r/>
      <w:bookmarkStart w:id="456" w:name="_Toc226337232"/>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8"/>
        </w:numPr>
        <w:ind w:left="357" w:firstLine="482"/>
        <w:spacing w:line="360" w:lineRule="auto"/>
        <w:tabs>
          <w:tab w:val="left" w:pos="360" w:leader="none"/>
        </w:tabs>
        <w:rPr>
          <w:sz w:val="24"/>
        </w:rPr>
        <w:outlineLvl w:val="1"/>
      </w:pPr>
      <w:r/>
      <w:bookmarkStart w:id="457" w:name="_Toc151193707"/>
      <w:r/>
      <w:bookmarkStart w:id="458" w:name="_Toc150509288"/>
      <w:r/>
      <w:bookmarkStart w:id="459" w:name="_Toc226337233"/>
      <w:r/>
      <w:bookmarkStart w:id="460" w:name="_Toc127151537"/>
      <w:r/>
      <w:bookmarkStart w:id="461" w:name="_Toc265228375"/>
      <w:r/>
      <w:bookmarkStart w:id="462" w:name="_Toc226965727"/>
      <w:r/>
      <w:bookmarkStart w:id="463" w:name="_Toc164608806"/>
      <w:r/>
      <w:bookmarkStart w:id="464" w:name="_Toc305158805"/>
      <w:r/>
      <w:bookmarkStart w:id="465" w:name="_Toc195842902"/>
      <w:r/>
      <w:bookmarkStart w:id="466" w:name="_Toc164351631"/>
      <w:r/>
      <w:bookmarkStart w:id="467" w:name="_Toc164229378"/>
      <w:r/>
      <w:bookmarkStart w:id="468" w:name="_Toc151193779"/>
      <w:r/>
      <w:bookmarkStart w:id="469" w:name="_Toc164608651"/>
      <w:r/>
      <w:bookmarkStart w:id="470" w:name="_Toc264969227"/>
      <w:r/>
      <w:bookmarkStart w:id="471" w:name="_Toc150480775"/>
      <w:r/>
      <w:bookmarkStart w:id="472" w:name="_Toc305158879"/>
      <w:r/>
      <w:bookmarkStart w:id="473" w:name="_Toc164229232"/>
      <w:r/>
      <w:bookmarkStart w:id="474" w:name="_Toc127151738"/>
      <w:r/>
      <w:bookmarkStart w:id="475" w:name="_Toc151190164"/>
      <w:r/>
      <w:bookmarkStart w:id="476" w:name="_Toc149720830"/>
      <w:r/>
      <w:bookmarkStart w:id="477" w:name="_Toc150774637"/>
      <w:r/>
      <w:bookmarkStart w:id="478" w:name="_Toc226965810"/>
      <w:r/>
      <w:bookmarkStart w:id="479" w:name="_Toc127161451"/>
      <w:r/>
      <w:bookmarkStart w:id="480" w:name="_Toc226309781"/>
      <w:r/>
      <w:bookmarkStart w:id="481" w:name="_Toc151193635"/>
      <w:r/>
      <w:bookmarkStart w:id="482" w:name="_Toc151193851"/>
      <w:r/>
      <w:bookmarkStart w:id="483" w:name="_Toc151193925"/>
      <w:r/>
      <w:bookmarkStart w:id="484" w:name="_Toc142311039"/>
      <w:r/>
      <w:bookmarkStart w:id="485" w:name="_Toc520356162"/>
      <w:r/>
      <w:bookmarkStart w:id="486" w:name="_Toc150774742"/>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8"/>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ind w:firstLine="482"/>
        <w:spacing w:line="360" w:lineRule="auto"/>
        <w:rPr>
          <w:sz w:val="24"/>
        </w:rPr>
      </w:pPr>
      <w:r>
        <w:rPr>
          <w:sz w:val="24"/>
        </w:rPr>
      </w:r>
      <w:r/>
    </w:p>
    <w:p>
      <w:pPr>
        <w:pStyle w:val="889"/>
        <w:ind w:firstLine="560"/>
        <w:spacing w:before="0" w:line="360" w:lineRule="auto"/>
        <w:rPr>
          <w:rFonts w:ascii="Times New Roman" w:hAnsi="Times New Roman" w:eastAsia="宋体"/>
          <w:sz w:val="28"/>
        </w:rPr>
      </w:pPr>
      <w:r/>
      <w:bookmarkStart w:id="487" w:name="_Toc150509289"/>
      <w:r/>
      <w:bookmarkStart w:id="488" w:name="_Toc264969228"/>
      <w:r/>
      <w:bookmarkStart w:id="489" w:name="_Toc151193780"/>
      <w:r/>
      <w:bookmarkStart w:id="490" w:name="_Toc226337234"/>
      <w:r/>
      <w:bookmarkStart w:id="491" w:name="_Toc151193852"/>
      <w:r/>
      <w:bookmarkStart w:id="492" w:name="_Toc265228376"/>
      <w:r/>
      <w:bookmarkStart w:id="493" w:name="_Toc150774638"/>
      <w:r/>
      <w:bookmarkStart w:id="494" w:name="_Toc150480776"/>
      <w:r/>
      <w:bookmarkStart w:id="495" w:name="_Toc142311040"/>
      <w:r/>
      <w:bookmarkStart w:id="496" w:name="_Toc226965811"/>
      <w:r/>
      <w:bookmarkStart w:id="497" w:name="_Toc226309782"/>
      <w:r/>
      <w:bookmarkStart w:id="498" w:name="_Toc150774743"/>
      <w:r/>
      <w:bookmarkStart w:id="499" w:name="_Toc226965728"/>
      <w:r/>
      <w:bookmarkStart w:id="500" w:name="_Toc151193926"/>
      <w:r/>
      <w:bookmarkStart w:id="501" w:name="_Toc151190165"/>
      <w:r/>
      <w:bookmarkStart w:id="502" w:name="_Toc305158806"/>
      <w:r/>
      <w:bookmarkStart w:id="503" w:name="_Toc195842903"/>
      <w:r/>
      <w:bookmarkStart w:id="504" w:name="_Toc305158880"/>
      <w:r/>
      <w:bookmarkStart w:id="505" w:name="_Toc151193708"/>
      <w:r/>
      <w:bookmarkStart w:id="506" w:name="_Toc127151538"/>
      <w:r/>
      <w:bookmarkStart w:id="507" w:name="_Toc151193636"/>
      <w:r/>
      <w:bookmarkStart w:id="508" w:name="_Toc520356163"/>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8"/>
        </w:numPr>
        <w:ind w:left="357" w:firstLine="482"/>
        <w:spacing w:line="360" w:lineRule="auto"/>
        <w:tabs>
          <w:tab w:val="left" w:pos="360" w:leader="none"/>
        </w:tabs>
        <w:rPr>
          <w:sz w:val="24"/>
        </w:rPr>
        <w:outlineLvl w:val="1"/>
      </w:pPr>
      <w:r/>
      <w:bookmarkStart w:id="509" w:name="_Toc305158807"/>
      <w:r/>
      <w:bookmarkStart w:id="510" w:name="_Toc195842904"/>
      <w:r/>
      <w:bookmarkStart w:id="511" w:name="_Toc127151740"/>
      <w:r/>
      <w:bookmarkStart w:id="512" w:name="_Toc127151539"/>
      <w:r/>
      <w:bookmarkStart w:id="513" w:name="_Toc164229380"/>
      <w:r/>
      <w:bookmarkStart w:id="514" w:name="_Toc226309783"/>
      <w:r/>
      <w:bookmarkStart w:id="515" w:name="_Toc151193853"/>
      <w:r/>
      <w:bookmarkStart w:id="516" w:name="_Toc149720832"/>
      <w:r/>
      <w:bookmarkStart w:id="517" w:name="_Toc164608808"/>
      <w:r/>
      <w:bookmarkStart w:id="518" w:name="_Toc151193781"/>
      <w:r/>
      <w:bookmarkStart w:id="519" w:name="_Toc305158881"/>
      <w:r/>
      <w:bookmarkStart w:id="520" w:name="_Toc150774744"/>
      <w:r/>
      <w:bookmarkStart w:id="521" w:name="_Toc520356164"/>
      <w:r/>
      <w:bookmarkStart w:id="522" w:name="_Toc164351633"/>
      <w:r/>
      <w:bookmarkStart w:id="523" w:name="_Toc265228377"/>
      <w:r/>
      <w:bookmarkStart w:id="524" w:name="_Toc142311041"/>
      <w:r/>
      <w:bookmarkStart w:id="525" w:name="_Toc151193927"/>
      <w:r/>
      <w:bookmarkStart w:id="526" w:name="_Toc164608653"/>
      <w:r/>
      <w:bookmarkStart w:id="527" w:name="_Toc151193637"/>
      <w:r/>
      <w:bookmarkStart w:id="528" w:name="_Toc150480777"/>
      <w:r/>
      <w:bookmarkStart w:id="529" w:name="_Toc150509290"/>
      <w:r/>
      <w:bookmarkStart w:id="530" w:name="_Toc226965729"/>
      <w:r/>
      <w:bookmarkStart w:id="531" w:name="_Toc164229234"/>
      <w:r/>
      <w:bookmarkStart w:id="532" w:name="_Toc150774639"/>
      <w:r/>
      <w:bookmarkStart w:id="533" w:name="_Toc264969229"/>
      <w:r/>
      <w:bookmarkStart w:id="534" w:name="_Toc226337235"/>
      <w:r/>
      <w:bookmarkStart w:id="535" w:name="_Toc151190166"/>
      <w:r/>
      <w:bookmarkStart w:id="536" w:name="_Toc127161453"/>
      <w:r/>
      <w:bookmarkStart w:id="537" w:name="_Toc226965812"/>
      <w:r/>
      <w:bookmarkStart w:id="538" w:name="_Toc151193709"/>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8"/>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8"/>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8"/>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8"/>
        </w:numPr>
        <w:ind w:left="357" w:firstLine="482"/>
        <w:spacing w:line="360" w:lineRule="auto"/>
        <w:tabs>
          <w:tab w:val="left" w:pos="360" w:leader="none"/>
        </w:tabs>
        <w:rPr>
          <w:sz w:val="24"/>
        </w:rPr>
        <w:outlineLvl w:val="1"/>
      </w:pPr>
      <w:r>
        <w:rPr>
          <w:sz w:val="24"/>
        </w:rPr>
        <w:t xml:space="preserve">资格审查</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p>
    <w:p>
      <w:pPr>
        <w:numPr>
          <w:ilvl w:val="0"/>
          <w:numId w:val="8"/>
        </w:numPr>
        <w:ind w:left="357" w:firstLine="482"/>
        <w:spacing w:line="360" w:lineRule="auto"/>
        <w:tabs>
          <w:tab w:val="left" w:pos="360" w:leader="none"/>
        </w:tabs>
        <w:rPr>
          <w:sz w:val="24"/>
        </w:rPr>
        <w:outlineLvl w:val="1"/>
      </w:pPr>
      <w:r/>
      <w:bookmarkStart w:id="540" w:name="_Toc226337236"/>
      <w:r/>
      <w:bookmarkStart w:id="541" w:name="_Toc151193928"/>
      <w:r/>
      <w:bookmarkStart w:id="542" w:name="_Toc127161454"/>
      <w:r/>
      <w:bookmarkStart w:id="543" w:name="_Toc226965730"/>
      <w:r/>
      <w:bookmarkStart w:id="544" w:name="_Toc151193638"/>
      <w:r/>
      <w:bookmarkStart w:id="545" w:name="_Toc150480778"/>
      <w:r/>
      <w:bookmarkStart w:id="546" w:name="_Toc150774745"/>
      <w:r/>
      <w:bookmarkStart w:id="547" w:name="_Toc142311042"/>
      <w:r/>
      <w:bookmarkStart w:id="548" w:name="_Toc195842905"/>
      <w:r/>
      <w:bookmarkStart w:id="549" w:name="_Toc151190167"/>
      <w:r/>
      <w:bookmarkStart w:id="550" w:name="_Toc164229235"/>
      <w:r/>
      <w:bookmarkStart w:id="551" w:name="_Toc164229381"/>
      <w:r/>
      <w:bookmarkStart w:id="552" w:name="_Toc150774640"/>
      <w:r/>
      <w:bookmarkStart w:id="553" w:name="_Toc151193710"/>
      <w:r/>
      <w:bookmarkStart w:id="554" w:name="_Toc127151540"/>
      <w:r/>
      <w:bookmarkStart w:id="555" w:name="_Toc305158882"/>
      <w:r/>
      <w:bookmarkStart w:id="556" w:name="_Toc127151741"/>
      <w:r/>
      <w:bookmarkStart w:id="557" w:name="_Toc151193854"/>
      <w:r/>
      <w:bookmarkStart w:id="558" w:name="_Toc150509291"/>
      <w:r/>
      <w:bookmarkStart w:id="559" w:name="_Toc164608654"/>
      <w:r/>
      <w:bookmarkStart w:id="560" w:name="_Toc226309784"/>
      <w:r/>
      <w:bookmarkStart w:id="561" w:name="_Toc265228378"/>
      <w:r/>
      <w:bookmarkStart w:id="562" w:name="_Toc151193782"/>
      <w:r/>
      <w:bookmarkStart w:id="563" w:name="_Toc149720833"/>
      <w:r/>
      <w:bookmarkStart w:id="564" w:name="_Toc164351634"/>
      <w:r/>
      <w:bookmarkStart w:id="565" w:name="_Toc305158808"/>
      <w:r/>
      <w:bookmarkStart w:id="566" w:name="_Toc264969230"/>
      <w:r/>
      <w:bookmarkStart w:id="567" w:name="_Toc226965813"/>
      <w:r/>
      <w:bookmarkStart w:id="568" w:name="_Toc164608809"/>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8"/>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8"/>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8"/>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889"/>
        <w:ind w:firstLine="560"/>
        <w:spacing w:before="0" w:line="360" w:lineRule="auto"/>
        <w:rPr>
          <w:rFonts w:ascii="Times New Roman" w:hAnsi="Times New Roman" w:eastAsia="宋体"/>
          <w:sz w:val="28"/>
        </w:rPr>
      </w:pPr>
      <w:r/>
      <w:bookmarkStart w:id="571" w:name="_Toc150509296"/>
      <w:r/>
      <w:bookmarkStart w:id="572" w:name="_Toc150480783"/>
      <w:r/>
      <w:bookmarkStart w:id="573" w:name="_Toc151193643"/>
      <w:r/>
      <w:bookmarkStart w:id="574" w:name="_Toc150774645"/>
      <w:r/>
      <w:bookmarkStart w:id="575" w:name="_Toc151190172"/>
      <w:r/>
      <w:bookmarkStart w:id="576" w:name="_Toc305158813"/>
      <w:r/>
      <w:bookmarkStart w:id="577" w:name="_Toc151193715"/>
      <w:r/>
      <w:bookmarkStart w:id="578" w:name="_Toc226965818"/>
      <w:r/>
      <w:bookmarkStart w:id="579" w:name="_Toc264969235"/>
      <w:r/>
      <w:bookmarkStart w:id="580" w:name="_Toc226309789"/>
      <w:r/>
      <w:bookmarkStart w:id="581" w:name="_Toc142311047"/>
      <w:r/>
      <w:bookmarkStart w:id="582" w:name="_Toc151193787"/>
      <w:r/>
      <w:bookmarkStart w:id="583" w:name="_Toc226965735"/>
      <w:r/>
      <w:bookmarkStart w:id="584" w:name="_Toc151193933"/>
      <w:r/>
      <w:bookmarkStart w:id="585" w:name="_Toc150774750"/>
      <w:r/>
      <w:bookmarkStart w:id="586" w:name="_Toc226337241"/>
      <w:r/>
      <w:bookmarkStart w:id="587" w:name="_Toc195842910"/>
      <w:r/>
      <w:bookmarkStart w:id="588" w:name="_Toc151193859"/>
      <w:r/>
      <w:bookmarkStart w:id="589" w:name="_Toc305158887"/>
      <w:r/>
      <w:bookmarkStart w:id="590" w:name="_Toc127151545"/>
      <w:r/>
      <w:bookmarkStart w:id="591" w:name="_Toc265228383"/>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42311049"/>
      <w:r/>
      <w:bookmarkStart w:id="593" w:name="_Toc127151547"/>
      <w:r/>
      <w:bookmarkStart w:id="594" w:name="_Toc151193645"/>
      <w:r/>
      <w:bookmarkStart w:id="595" w:name="_Toc127161461"/>
      <w:r/>
      <w:bookmarkStart w:id="596" w:name="_Toc164351641"/>
      <w:r/>
      <w:bookmarkStart w:id="597" w:name="_Toc150480785"/>
      <w:r/>
      <w:bookmarkStart w:id="598" w:name="_Toc265228385"/>
      <w:r/>
      <w:bookmarkStart w:id="599" w:name="_Toc164229388"/>
      <w:r/>
      <w:bookmarkStart w:id="600" w:name="_Toc164608661"/>
      <w:r/>
      <w:bookmarkStart w:id="601" w:name="_Toc151193861"/>
      <w:r/>
      <w:bookmarkStart w:id="602" w:name="_Toc127151748"/>
      <w:r/>
      <w:bookmarkStart w:id="603" w:name="_Toc151193717"/>
      <w:r/>
      <w:bookmarkStart w:id="604" w:name="_Toc226309791"/>
      <w:r/>
      <w:bookmarkStart w:id="605" w:name="_Toc264969237"/>
      <w:r/>
      <w:bookmarkStart w:id="606" w:name="_Toc164608816"/>
      <w:r/>
      <w:bookmarkStart w:id="607" w:name="_Toc226965820"/>
      <w:r/>
      <w:bookmarkStart w:id="608" w:name="_Toc226337243"/>
      <w:r/>
      <w:bookmarkStart w:id="609" w:name="_Toc164229242"/>
      <w:r/>
      <w:bookmarkStart w:id="610" w:name="_Toc151193789"/>
      <w:r/>
      <w:bookmarkStart w:id="611" w:name="_Toc150509298"/>
      <w:r/>
      <w:bookmarkStart w:id="612" w:name="_Toc151190174"/>
      <w:r/>
      <w:bookmarkStart w:id="613" w:name="_Toc195842912"/>
      <w:r/>
      <w:bookmarkStart w:id="614" w:name="_Toc149720840"/>
      <w:r/>
      <w:bookmarkStart w:id="615" w:name="_Toc305158815"/>
      <w:r/>
      <w:bookmarkStart w:id="616" w:name="_Toc150774647"/>
      <w:r/>
      <w:bookmarkStart w:id="617" w:name="_Toc305158889"/>
      <w:r/>
      <w:bookmarkStart w:id="618" w:name="_Toc151193935"/>
      <w:r/>
      <w:bookmarkStart w:id="619" w:name="_Toc226965737"/>
      <w:r/>
      <w:bookmarkStart w:id="620" w:name="_Toc150774752"/>
      <w:r/>
      <w:r/>
    </w:p>
    <w:p>
      <w:pPr>
        <w:numPr>
          <w:ilvl w:val="0"/>
          <w:numId w:val="8"/>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8"/>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bookmarkStart w:id="621" w:name="_Toc305158891"/>
      <w:r/>
      <w:bookmarkStart w:id="622" w:name="_Toc305158817"/>
      <w:r/>
      <w:bookmarkStart w:id="623" w:name="_Toc226337245"/>
      <w:r/>
      <w:bookmarkStart w:id="624" w:name="_Toc150480787"/>
      <w:r/>
      <w:bookmarkStart w:id="625" w:name="_Toc195842914"/>
      <w:r/>
      <w:bookmarkStart w:id="626" w:name="_Toc164229390"/>
      <w:r/>
      <w:bookmarkStart w:id="627" w:name="_Toc164351643"/>
      <w:r/>
      <w:bookmarkStart w:id="628" w:name="_Toc150509300"/>
      <w:r/>
      <w:bookmarkStart w:id="629" w:name="_Toc150774649"/>
      <w:r/>
      <w:bookmarkStart w:id="630" w:name="_Toc127151549"/>
      <w:r/>
      <w:bookmarkStart w:id="631" w:name="_Toc127151750"/>
      <w:r/>
      <w:bookmarkStart w:id="632" w:name="_Toc151193863"/>
      <w:r/>
      <w:bookmarkStart w:id="633" w:name="_Toc226309793"/>
      <w:r/>
      <w:bookmarkStart w:id="634" w:name="_Toc164608818"/>
      <w:r/>
      <w:bookmarkStart w:id="635" w:name="_Toc164229244"/>
      <w:r/>
      <w:bookmarkStart w:id="636" w:name="_Toc149720842"/>
      <w:r/>
      <w:bookmarkStart w:id="637" w:name="_Toc265228387"/>
      <w:r/>
      <w:bookmarkStart w:id="638" w:name="_Toc127161463"/>
      <w:r/>
      <w:bookmarkStart w:id="639" w:name="_Toc151193791"/>
      <w:r/>
      <w:bookmarkStart w:id="640" w:name="_Toc151193719"/>
      <w:r/>
      <w:bookmarkStart w:id="641" w:name="_Toc151190176"/>
      <w:r/>
      <w:bookmarkStart w:id="642" w:name="_Toc150774754"/>
      <w:r/>
      <w:bookmarkStart w:id="643" w:name="_Toc264969239"/>
      <w:r/>
      <w:bookmarkStart w:id="644" w:name="_Toc164608663"/>
      <w:r/>
      <w:bookmarkStart w:id="645" w:name="_Toc226965822"/>
      <w:r/>
      <w:bookmarkStart w:id="646" w:name="_Toc151193937"/>
      <w:r/>
      <w:bookmarkStart w:id="647" w:name="_Toc142311051"/>
      <w:r/>
      <w:bookmarkStart w:id="648" w:name="_Toc151193647"/>
      <w:r/>
      <w:bookmarkStart w:id="649" w:name="_Toc226965739"/>
      <w:r/>
      <w:bookmarkStart w:id="650" w:name="_Ref467307090"/>
      <w:r/>
      <w:bookmarkStart w:id="651" w:name="_Ref467306425"/>
      <w:r/>
      <w:bookmarkStart w:id="652" w:name="_Toc520356176"/>
      <w:r>
        <w:rPr>
          <w:sz w:val="24"/>
        </w:rPr>
        <w:t xml:space="preserve">中标公告与中标通知书</w:t>
      </w:r>
      <w:bookmarkEnd w:id="621"/>
      <w:r/>
      <w:bookmarkEnd w:id="622"/>
      <w:r/>
      <w:r/>
    </w:p>
    <w:p>
      <w:pPr>
        <w:numPr>
          <w:ilvl w:val="1"/>
          <w:numId w:val="8"/>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8"/>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firstLine="482"/>
        <w:spacing w:line="360" w:lineRule="auto"/>
        <w:tabs>
          <w:tab w:val="left" w:pos="360" w:leader="none"/>
        </w:tabs>
        <w:rPr>
          <w:sz w:val="24"/>
        </w:rPr>
        <w:outlineLvl w:val="1"/>
      </w:pPr>
      <w:r>
        <w:rPr>
          <w:sz w:val="24"/>
        </w:rPr>
        <w:t xml:space="preserve">废标</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8"/>
        </w:numPr>
        <w:ind w:firstLine="482"/>
        <w:spacing w:line="360" w:lineRule="auto"/>
        <w:rPr>
          <w:sz w:val="24"/>
        </w:rPr>
      </w:pPr>
      <w:r>
        <w:rPr>
          <w:sz w:val="24"/>
        </w:rPr>
        <w:t xml:space="preserve">符合专业条件的供应商或者对招标文件作实质响应的供应商不足三家的；</w:t>
      </w:r>
      <w:r/>
    </w:p>
    <w:p>
      <w:pPr>
        <w:numPr>
          <w:ilvl w:val="2"/>
          <w:numId w:val="8"/>
        </w:numPr>
        <w:ind w:firstLine="482"/>
        <w:spacing w:line="360" w:lineRule="auto"/>
        <w:rPr>
          <w:sz w:val="24"/>
        </w:rPr>
      </w:pPr>
      <w:r>
        <w:rPr>
          <w:sz w:val="24"/>
        </w:rPr>
        <w:t xml:space="preserve">出现影响采购公正的违法、违规行为的；</w:t>
      </w:r>
      <w:r/>
    </w:p>
    <w:p>
      <w:pPr>
        <w:numPr>
          <w:ilvl w:val="2"/>
          <w:numId w:val="8"/>
        </w:numPr>
        <w:ind w:firstLine="482"/>
        <w:spacing w:line="360" w:lineRule="auto"/>
        <w:rPr>
          <w:sz w:val="24"/>
        </w:rPr>
      </w:pPr>
      <w:r>
        <w:rPr>
          <w:sz w:val="24"/>
        </w:rPr>
        <w:t xml:space="preserve">投标人的报价均超过了采购预算，采购人不能支付的；</w:t>
      </w:r>
      <w:r/>
    </w:p>
    <w:p>
      <w:pPr>
        <w:numPr>
          <w:ilvl w:val="2"/>
          <w:numId w:val="8"/>
        </w:numPr>
        <w:ind w:firstLine="482"/>
        <w:spacing w:line="360" w:lineRule="auto"/>
        <w:rPr>
          <w:sz w:val="24"/>
        </w:rPr>
      </w:pPr>
      <w:r>
        <w:rPr>
          <w:sz w:val="24"/>
        </w:rPr>
        <w:t xml:space="preserve">因重大变故，采购任务取消的。</w:t>
      </w:r>
      <w:r/>
    </w:p>
    <w:p>
      <w:pPr>
        <w:numPr>
          <w:ilvl w:val="2"/>
          <w:numId w:val="8"/>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8"/>
        </w:numPr>
        <w:ind w:left="357" w:firstLine="482"/>
        <w:spacing w:line="360" w:lineRule="auto"/>
        <w:tabs>
          <w:tab w:val="left" w:pos="360" w:leader="none"/>
        </w:tabs>
        <w:rPr>
          <w:sz w:val="24"/>
        </w:rPr>
        <w:outlineLvl w:val="1"/>
      </w:pPr>
      <w:r/>
      <w:bookmarkStart w:id="653" w:name="_Toc226965740"/>
      <w:r/>
      <w:bookmarkStart w:id="654" w:name="_Toc264969240"/>
      <w:r/>
      <w:bookmarkStart w:id="655" w:name="_Toc164229245"/>
      <w:r/>
      <w:bookmarkStart w:id="656" w:name="_Ref467307062"/>
      <w:r/>
      <w:bookmarkStart w:id="657" w:name="_Ref467307204"/>
      <w:r/>
      <w:bookmarkStart w:id="658" w:name="_Toc226965823"/>
      <w:r/>
      <w:bookmarkStart w:id="659" w:name="_Toc226337246"/>
      <w:r/>
      <w:bookmarkStart w:id="660" w:name="_Ref467306377"/>
      <w:r/>
      <w:bookmarkStart w:id="661" w:name="_Toc305158892"/>
      <w:r/>
      <w:bookmarkStart w:id="662" w:name="_Toc265228388"/>
      <w:r/>
      <w:bookmarkStart w:id="663" w:name="_Toc151193720"/>
      <w:r/>
      <w:bookmarkStart w:id="664" w:name="_Toc127151751"/>
      <w:r/>
      <w:bookmarkStart w:id="665" w:name="_Toc127151550"/>
      <w:r/>
      <w:bookmarkStart w:id="666" w:name="_Toc150774650"/>
      <w:r/>
      <w:bookmarkStart w:id="667" w:name="_Toc164229391"/>
      <w:r/>
      <w:bookmarkStart w:id="668" w:name="_Ref467306978"/>
      <w:r/>
      <w:bookmarkStart w:id="669" w:name="_Toc150774755"/>
      <w:r/>
      <w:bookmarkStart w:id="670" w:name="_Toc151193792"/>
      <w:r/>
      <w:bookmarkStart w:id="671" w:name="_Toc226309794"/>
      <w:r/>
      <w:bookmarkStart w:id="672" w:name="_Toc150509301"/>
      <w:r/>
      <w:bookmarkStart w:id="673" w:name="_Toc520356175"/>
      <w:r/>
      <w:bookmarkStart w:id="674" w:name="_Toc150480788"/>
      <w:r/>
      <w:bookmarkStart w:id="675" w:name="_Toc151193938"/>
      <w:r/>
      <w:bookmarkStart w:id="676" w:name="_Toc164608819"/>
      <w:r/>
      <w:bookmarkStart w:id="677" w:name="_Toc305158818"/>
      <w:r/>
      <w:bookmarkStart w:id="678" w:name="_Toc151193648"/>
      <w:r/>
      <w:bookmarkStart w:id="679" w:name="_Toc151193864"/>
      <w:r/>
      <w:bookmarkStart w:id="680" w:name="_Toc127161464"/>
      <w:r/>
      <w:bookmarkStart w:id="681" w:name="_Toc164608664"/>
      <w:r/>
      <w:bookmarkStart w:id="682" w:name="_Toc149720843"/>
      <w:r/>
      <w:bookmarkStart w:id="683" w:name="_Toc142311052"/>
      <w:r/>
      <w:bookmarkStart w:id="684" w:name="_Toc164351644"/>
      <w:r/>
      <w:bookmarkStart w:id="685" w:name="_Toc151190177"/>
      <w:r/>
      <w:bookmarkStart w:id="686" w:name="_Toc195842915"/>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8"/>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8"/>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8"/>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bookmarkEnd w:id="651"/>
      <w:bookmarkEnd w:id="652"/>
      <w:r/>
    </w:p>
    <w:p>
      <w:pPr>
        <w:numPr>
          <w:ilvl w:val="0"/>
          <w:numId w:val="8"/>
        </w:numPr>
        <w:ind w:left="357" w:firstLine="482"/>
        <w:spacing w:line="360" w:lineRule="auto"/>
        <w:tabs>
          <w:tab w:val="left" w:pos="360" w:leader="none"/>
        </w:tabs>
        <w:rPr>
          <w:sz w:val="24"/>
        </w:rPr>
        <w:outlineLvl w:val="1"/>
      </w:pPr>
      <w:r>
        <w:rPr>
          <w:sz w:val="24"/>
        </w:rPr>
        <w:t xml:space="preserve">询问与质疑</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8"/>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8"/>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8"/>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8"/>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8"/>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37"/>
        </w:rPr>
        <w:t xml:space="preserve">http://gk</w:t>
      </w:r>
      <w:bookmarkStart w:id="687" w:name="_Hlt100654014"/>
      <w:r>
        <w:rPr>
          <w:rStyle w:val="937"/>
        </w:rPr>
        <w:t xml:space="preserve">s</w:t>
      </w:r>
      <w:bookmarkEnd w:id="687"/>
      <w:r>
        <w:rPr>
          <w:rStyle w:val="937"/>
        </w:rPr>
        <w:t xml:space="preserve">.m</w:t>
      </w:r>
      <w:bookmarkStart w:id="688" w:name="_Hlt100653994"/>
      <w:r/>
      <w:bookmarkStart w:id="689" w:name="_Hlt100653993"/>
      <w:r>
        <w:rPr>
          <w:rStyle w:val="937"/>
        </w:rPr>
        <w:t xml:space="preserve">o</w:t>
      </w:r>
      <w:bookmarkEnd w:id="688"/>
      <w:r/>
      <w:bookmarkEnd w:id="689"/>
      <w:r>
        <w:rPr>
          <w:rStyle w:val="937"/>
        </w:rPr>
        <w:t xml:space="preserve">f.gov.cn/ztztz/zhengfucaigouguanli/201802/t20180201_2804589.htm</w:t>
      </w:r>
      <w:r>
        <w:rPr>
          <w:rStyle w:val="937"/>
        </w:rPr>
        <w:fldChar w:fldCharType="end"/>
      </w:r>
      <w:r>
        <w:rPr>
          <w:rFonts w:hint="eastAsia"/>
        </w:rPr>
        <w:t xml:space="preserve">）</w:t>
      </w:r>
      <w:r/>
    </w:p>
    <w:p>
      <w:pPr>
        <w:numPr>
          <w:ilvl w:val="2"/>
          <w:numId w:val="8"/>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8"/>
        </w:numPr>
        <w:ind w:left="357" w:firstLine="482"/>
        <w:spacing w:line="360" w:lineRule="auto"/>
        <w:tabs>
          <w:tab w:val="left" w:pos="360" w:leader="none"/>
        </w:tabs>
        <w:rPr>
          <w:sz w:val="24"/>
        </w:rPr>
        <w:outlineLvl w:val="1"/>
      </w:pPr>
      <w:r>
        <w:rPr>
          <w:sz w:val="24"/>
        </w:rPr>
        <w:t xml:space="preserve">代理费</w:t>
      </w:r>
      <w:r/>
    </w:p>
    <w:p>
      <w:pPr>
        <w:numPr>
          <w:ilvl w:val="1"/>
          <w:numId w:val="8"/>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305158822"/>
      <w:r/>
      <w:bookmarkStart w:id="691" w:name="_Toc150774759"/>
      <w:r/>
      <w:bookmarkStart w:id="692" w:name="_Toc353873934"/>
      <w:r/>
      <w:bookmarkStart w:id="693" w:name="_Toc150480792"/>
      <w:r/>
      <w:bookmarkStart w:id="694" w:name="_Toc305158896"/>
      <w:r/>
      <w:bookmarkStart w:id="695" w:name="_Toc353825544"/>
      <w:r/>
      <w:bookmarkStart w:id="696" w:name="_Toc265228392"/>
      <w:r/>
      <w:bookmarkStart w:id="697" w:name="_Toc226337250"/>
      <w:r/>
      <w:bookmarkStart w:id="698" w:name="_Toc353873664"/>
      <w:r/>
      <w:bookmarkStart w:id="699" w:name="_Toc226965827"/>
      <w:r/>
      <w:bookmarkStart w:id="700" w:name="_Toc127151554"/>
      <w:r/>
      <w:bookmarkStart w:id="701" w:name="_Toc264969244"/>
      <w:r/>
      <w:bookmarkStart w:id="702" w:name="_Toc142311056"/>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0"/>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0"/>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889"/>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127161490"/>
      <w:r/>
      <w:bookmarkStart w:id="708" w:name="_Toc353825550"/>
      <w:r/>
      <w:bookmarkStart w:id="709" w:name="_Toc353873940"/>
      <w:r/>
      <w:bookmarkStart w:id="710" w:name="_Toc226965858"/>
      <w:r/>
      <w:bookmarkStart w:id="711" w:name="_Toc127151779"/>
      <w:r>
        <w:rPr>
          <w:rFonts w:hint="eastAsia" w:ascii="宋体" w:hAnsi="宋体" w:eastAsia="宋体" w:cs="宋体"/>
          <w:sz w:val="28"/>
        </w:rPr>
        <w:t xml:space="preserve">二、资格审查要求</w:t>
      </w:r>
      <w:r/>
    </w:p>
    <w:tbl>
      <w:tblPr>
        <w:tblStyle w:val="898"/>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67"/>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bCs/>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本项目不接受联合体投标</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b/>
                <w:bCs/>
                <w:sz w:val="24"/>
              </w:rPr>
              <w:t xml:space="preserve">本项目接受进口产品投标</w:t>
            </w:r>
            <w:r>
              <w:rPr>
                <w:rFonts w:hint="eastAsia"/>
                <w:sz w:val="24"/>
              </w:rPr>
              <w:t xml:space="preserve">，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提供相关证书复印件并加盖公章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164608810"/>
      <w:r/>
      <w:bookmarkStart w:id="715" w:name="_Toc164229382"/>
      <w:r/>
      <w:bookmarkStart w:id="716" w:name="_Toc226965814"/>
      <w:r/>
      <w:bookmarkStart w:id="717" w:name="_Toc195842906"/>
      <w:r/>
      <w:bookmarkStart w:id="718" w:name="_Toc151193855"/>
      <w:r/>
      <w:bookmarkStart w:id="719" w:name="_Toc150509292"/>
      <w:r/>
      <w:bookmarkStart w:id="720" w:name="_Toc150774641"/>
      <w:r/>
      <w:bookmarkStart w:id="721" w:name="_Toc127161455"/>
      <w:r/>
      <w:bookmarkStart w:id="722" w:name="_Toc164351635"/>
      <w:r/>
      <w:bookmarkStart w:id="723" w:name="_Toc127151541"/>
      <w:r/>
      <w:bookmarkStart w:id="724" w:name="_Toc127151742"/>
      <w:r/>
      <w:bookmarkStart w:id="725" w:name="_Toc264969231"/>
      <w:r/>
      <w:bookmarkStart w:id="726" w:name="_Toc164229236"/>
      <w:r/>
      <w:bookmarkStart w:id="727" w:name="_Toc305158809"/>
      <w:r/>
      <w:bookmarkStart w:id="728" w:name="_Toc164608655"/>
      <w:r/>
      <w:bookmarkStart w:id="729" w:name="_Toc226309785"/>
      <w:r/>
      <w:bookmarkStart w:id="730" w:name="_Toc265228379"/>
      <w:r/>
      <w:bookmarkStart w:id="731" w:name="_Toc305158883"/>
      <w:r/>
      <w:bookmarkStart w:id="732" w:name="_Toc149720834"/>
      <w:r/>
      <w:bookmarkStart w:id="733" w:name="_Toc142311043"/>
      <w:r/>
      <w:bookmarkStart w:id="734" w:name="_Toc151190168"/>
      <w:r/>
      <w:bookmarkStart w:id="735" w:name="_Toc226337237"/>
      <w:r/>
      <w:bookmarkStart w:id="736" w:name="_Toc151193711"/>
      <w:r/>
      <w:bookmarkStart w:id="737" w:name="_Toc150480779"/>
      <w:r/>
      <w:bookmarkStart w:id="738" w:name="_Toc151193929"/>
      <w:r/>
      <w:bookmarkStart w:id="739" w:name="_Toc150774746"/>
      <w:r/>
      <w:bookmarkStart w:id="740" w:name="_Toc151193639"/>
      <w:r/>
      <w:bookmarkStart w:id="741" w:name="_Toc151193783"/>
      <w:r/>
      <w:bookmarkStart w:id="742" w:name="_Toc226965731"/>
      <w:r/>
      <w:bookmarkStart w:id="743" w:name="_Toc353825551"/>
      <w:r/>
      <w:bookmarkStart w:id="744" w:name="_Toc353873941"/>
      <w:r/>
      <w:bookmarkStart w:id="745" w:name="_Toc265228393"/>
      <w:r/>
      <w:bookmarkStart w:id="746" w:name="_Toc353873665"/>
      <w:r/>
      <w:bookmarkStart w:id="747" w:name="_Toc305158897"/>
      <w:r/>
      <w:bookmarkStart w:id="748" w:name="_Toc150774760"/>
      <w:r/>
      <w:bookmarkStart w:id="749" w:name="_Toc142311057"/>
      <w:r/>
      <w:bookmarkStart w:id="750" w:name="_Toc150480793"/>
      <w:r/>
      <w:bookmarkStart w:id="751" w:name="_Toc195842920"/>
      <w:r/>
      <w:bookmarkStart w:id="752" w:name="_Toc127151555"/>
      <w:r/>
      <w:bookmarkStart w:id="753" w:name="_Toc264969245"/>
      <w:r/>
      <w:bookmarkStart w:id="754" w:name="_Toc226965828"/>
      <w:r/>
      <w:bookmarkStart w:id="755" w:name="_Toc353825545"/>
      <w:r/>
      <w:bookmarkStart w:id="756" w:name="_Toc353873935"/>
      <w:r/>
      <w:bookmarkStart w:id="757" w:name="_Toc226337251"/>
      <w:r/>
      <w:bookmarkStart w:id="758" w:name="_Toc305158823"/>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8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000000"/>
                <w:sz w:val="24"/>
              </w:rPr>
            </w:pPr>
            <w:r>
              <w:rPr>
                <w:b/>
                <w:color w:val="000000"/>
                <w:sz w:val="24"/>
              </w:rPr>
              <w:t xml:space="preserve">序号</w:t>
            </w:r>
            <w:r/>
          </w:p>
        </w:tc>
        <w:tc>
          <w:tcPr>
            <w:tcW w:w="975" w:type="pct"/>
            <w:vAlign w:val="center"/>
            <w:textDirection w:val="lrTb"/>
            <w:noWrap w:val="false"/>
          </w:tcPr>
          <w:p>
            <w:pPr>
              <w:jc w:val="center"/>
              <w:widowControl/>
              <w:rPr>
                <w:b/>
                <w:color w:val="000000"/>
                <w:sz w:val="24"/>
              </w:rPr>
            </w:pPr>
            <w:r>
              <w:rPr>
                <w:b/>
                <w:color w:val="000000"/>
                <w:sz w:val="24"/>
              </w:rPr>
              <w:t xml:space="preserve">审查因素</w:t>
            </w:r>
            <w:r/>
          </w:p>
        </w:tc>
        <w:tc>
          <w:tcPr>
            <w:tcW w:w="3621"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w:t>
            </w:r>
            <w:r/>
          </w:p>
        </w:tc>
        <w:tc>
          <w:tcPr>
            <w:tcW w:w="975" w:type="pct"/>
            <w:vAlign w:val="center"/>
            <w:textDirection w:val="lrTb"/>
            <w:noWrap w:val="false"/>
          </w:tcPr>
          <w:p>
            <w:pPr>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1" w:type="pct"/>
            <w:vAlign w:val="center"/>
            <w:textDirection w:val="lrTb"/>
            <w:noWrap w:val="false"/>
          </w:tcPr>
          <w:p>
            <w:pPr>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color w:val="000000"/>
                <w:sz w:val="24"/>
              </w:rPr>
              <w:t xml:space="preserve">(格式见《投标文件格式》)</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2</w:t>
            </w:r>
            <w:r/>
          </w:p>
        </w:tc>
        <w:tc>
          <w:tcPr>
            <w:tcW w:w="975" w:type="pct"/>
            <w:vAlign w:val="center"/>
            <w:textDirection w:val="lrTb"/>
            <w:noWrap w:val="false"/>
          </w:tcPr>
          <w:p>
            <w:pPr>
              <w:jc w:val="center"/>
              <w:widowControl/>
              <w:rPr>
                <w:color w:val="000000"/>
                <w:sz w:val="24"/>
              </w:rPr>
            </w:pPr>
            <w:r>
              <w:rPr>
                <w:color w:val="000000"/>
                <w:sz w:val="24"/>
              </w:rPr>
              <w:t xml:space="preserve">投标完整性</w:t>
            </w:r>
            <w:r/>
          </w:p>
        </w:tc>
        <w:tc>
          <w:tcPr>
            <w:tcW w:w="3621"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3</w:t>
            </w:r>
            <w:r/>
          </w:p>
        </w:tc>
        <w:tc>
          <w:tcPr>
            <w:tcW w:w="975" w:type="pct"/>
            <w:vAlign w:val="center"/>
            <w:textDirection w:val="lrTb"/>
            <w:noWrap w:val="false"/>
          </w:tcPr>
          <w:p>
            <w:pPr>
              <w:jc w:val="center"/>
              <w:widowControl/>
              <w:rPr>
                <w:color w:val="000000"/>
                <w:sz w:val="24"/>
              </w:rPr>
            </w:pPr>
            <w:r>
              <w:rPr>
                <w:color w:val="000000"/>
                <w:sz w:val="24"/>
              </w:rPr>
              <w:t xml:space="preserve">投标报价</w:t>
            </w:r>
            <w:r/>
          </w:p>
        </w:tc>
        <w:tc>
          <w:tcPr>
            <w:tcW w:w="3621"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4</w:t>
            </w:r>
            <w:r/>
          </w:p>
        </w:tc>
        <w:tc>
          <w:tcPr>
            <w:tcW w:w="975" w:type="pct"/>
            <w:vAlign w:val="center"/>
            <w:textDirection w:val="lrTb"/>
            <w:noWrap w:val="false"/>
          </w:tcPr>
          <w:p>
            <w:pPr>
              <w:jc w:val="center"/>
              <w:widowControl/>
              <w:rPr>
                <w:color w:val="000000"/>
                <w:sz w:val="24"/>
              </w:rPr>
            </w:pPr>
            <w:r>
              <w:rPr>
                <w:color w:val="000000"/>
                <w:sz w:val="24"/>
              </w:rPr>
              <w:t xml:space="preserve">报价唯一性</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5</w:t>
            </w:r>
            <w:r/>
          </w:p>
        </w:tc>
        <w:tc>
          <w:tcPr>
            <w:tcW w:w="975" w:type="pct"/>
            <w:vAlign w:val="center"/>
            <w:textDirection w:val="lrTb"/>
            <w:noWrap w:val="false"/>
          </w:tcPr>
          <w:p>
            <w:pPr>
              <w:jc w:val="center"/>
              <w:widowControl/>
              <w:rPr>
                <w:color w:val="000000"/>
                <w:sz w:val="24"/>
              </w:rPr>
            </w:pPr>
            <w:r>
              <w:rPr>
                <w:color w:val="000000"/>
                <w:sz w:val="24"/>
              </w:rPr>
              <w:t xml:space="preserve">投标有效期</w:t>
            </w:r>
            <w:r/>
          </w:p>
        </w:tc>
        <w:tc>
          <w:tcPr>
            <w:tcW w:w="3621"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6</w:t>
            </w:r>
            <w:r/>
          </w:p>
        </w:tc>
        <w:tc>
          <w:tcPr>
            <w:tcW w:w="975" w:type="pct"/>
            <w:vAlign w:val="center"/>
            <w:textDirection w:val="lrTb"/>
            <w:noWrap w:val="false"/>
          </w:tcPr>
          <w:p>
            <w:pPr>
              <w:jc w:val="center"/>
              <w:widowControl/>
              <w:rPr>
                <w:color w:val="000000"/>
                <w:sz w:val="24"/>
              </w:rPr>
            </w:pPr>
            <w:r>
              <w:rPr>
                <w:color w:val="000000"/>
                <w:sz w:val="24"/>
              </w:rPr>
              <w:t xml:space="preserve">签署、加盖公章</w:t>
            </w:r>
            <w:r/>
          </w:p>
        </w:tc>
        <w:tc>
          <w:tcPr>
            <w:tcW w:w="3621"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403" w:type="pct"/>
            <w:vAlign w:val="center"/>
            <w:textDirection w:val="lrTb"/>
            <w:noWrap w:val="false"/>
          </w:tcPr>
          <w:p>
            <w:pPr>
              <w:jc w:val="center"/>
              <w:widowControl/>
              <w:rPr>
                <w:color w:val="000000"/>
                <w:sz w:val="24"/>
              </w:rPr>
            </w:pPr>
            <w:r>
              <w:rPr>
                <w:rFonts w:hint="eastAsia"/>
                <w:color w:val="000000"/>
                <w:sz w:val="24"/>
              </w:rPr>
              <w:t xml:space="preserve">7</w:t>
            </w:r>
            <w:r/>
          </w:p>
        </w:tc>
        <w:tc>
          <w:tcPr>
            <w:tcW w:w="975"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621"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8</w:t>
            </w:r>
            <w:r/>
          </w:p>
        </w:tc>
        <w:tc>
          <w:tcPr>
            <w:tcW w:w="975"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9</w:t>
            </w:r>
            <w:r/>
          </w:p>
        </w:tc>
        <w:tc>
          <w:tcPr>
            <w:tcW w:w="975"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621"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403" w:type="pct"/>
            <w:vAlign w:val="center"/>
            <w:textDirection w:val="lrTb"/>
            <w:noWrap w:val="false"/>
          </w:tcPr>
          <w:p>
            <w:pPr>
              <w:jc w:val="center"/>
              <w:widowControl/>
              <w:rPr>
                <w:color w:val="000000"/>
                <w:sz w:val="24"/>
              </w:rPr>
            </w:pPr>
            <w:r>
              <w:rPr>
                <w:color w:val="000000"/>
                <w:sz w:val="24"/>
              </w:rPr>
              <w:t xml:space="preserve">10</w:t>
            </w:r>
            <w:r/>
          </w:p>
        </w:tc>
        <w:tc>
          <w:tcPr>
            <w:tcW w:w="975"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11</w:t>
            </w:r>
            <w:r/>
          </w:p>
        </w:tc>
        <w:tc>
          <w:tcPr>
            <w:tcW w:w="975" w:type="pct"/>
            <w:vAlign w:val="center"/>
            <w:textDirection w:val="lrTb"/>
            <w:noWrap w:val="false"/>
          </w:tcPr>
          <w:p>
            <w:pPr>
              <w:jc w:val="center"/>
              <w:widowControl/>
              <w:rPr>
                <w:color w:val="000000"/>
                <w:sz w:val="24"/>
              </w:rPr>
            </w:pPr>
            <w:r>
              <w:rPr>
                <w:color w:val="000000"/>
                <w:sz w:val="24"/>
              </w:rPr>
              <w:t xml:space="preserve">报价的修正（如有）</w:t>
            </w:r>
            <w:r/>
          </w:p>
        </w:tc>
        <w:tc>
          <w:tcPr>
            <w:tcW w:w="3621"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12</w:t>
            </w:r>
            <w:r/>
          </w:p>
        </w:tc>
        <w:tc>
          <w:tcPr>
            <w:tcW w:w="975" w:type="pct"/>
            <w:vAlign w:val="center"/>
            <w:textDirection w:val="lrTb"/>
            <w:noWrap w:val="false"/>
          </w:tcPr>
          <w:p>
            <w:pPr>
              <w:jc w:val="center"/>
              <w:widowControl/>
              <w:rPr>
                <w:color w:val="000000"/>
                <w:sz w:val="24"/>
              </w:rPr>
            </w:pPr>
            <w:r>
              <w:rPr>
                <w:color w:val="000000"/>
                <w:sz w:val="24"/>
              </w:rPr>
              <w:t xml:space="preserve">报价合理性</w:t>
            </w:r>
            <w:r/>
          </w:p>
        </w:tc>
        <w:tc>
          <w:tcPr>
            <w:tcW w:w="3621" w:type="pct"/>
            <w:vAlign w:val="center"/>
            <w:textDirection w:val="lrTb"/>
            <w:noWrap w:val="false"/>
          </w:tcPr>
          <w:p>
            <w:pPr>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b/>
                <w:bCs/>
                <w:sz w:val="24"/>
              </w:rPr>
              <w:t xml:space="preserve">项目执行苏财购(2025)62号关于推动解决政府采购异常低价问题相关工作的通知，实施政府采购异常低价审查。</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13</w:t>
            </w:r>
            <w:r/>
          </w:p>
        </w:tc>
        <w:tc>
          <w:tcPr>
            <w:tcW w:w="975"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621"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403" w:type="pct"/>
            <w:vAlign w:val="center"/>
            <w:textDirection w:val="lrTb"/>
            <w:noWrap w:val="false"/>
          </w:tcPr>
          <w:p>
            <w:pPr>
              <w:jc w:val="center"/>
              <w:widowControl/>
              <w:rPr>
                <w:color w:val="000000"/>
                <w:sz w:val="24"/>
              </w:rPr>
            </w:pPr>
            <w:r>
              <w:rPr>
                <w:color w:val="000000"/>
                <w:sz w:val="24"/>
              </w:rPr>
              <w:t xml:space="preserve">14</w:t>
            </w:r>
            <w:r/>
          </w:p>
        </w:tc>
        <w:tc>
          <w:tcPr>
            <w:tcW w:w="975"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621"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15</w:t>
            </w:r>
            <w:r/>
          </w:p>
        </w:tc>
        <w:tc>
          <w:tcPr>
            <w:tcW w:w="975" w:type="pct"/>
            <w:vAlign w:val="center"/>
            <w:textDirection w:val="lrTb"/>
            <w:noWrap w:val="false"/>
          </w:tcPr>
          <w:p>
            <w:pPr>
              <w:jc w:val="center"/>
              <w:widowControl/>
              <w:rPr>
                <w:color w:val="000000"/>
                <w:sz w:val="24"/>
              </w:rPr>
            </w:pPr>
            <w:r>
              <w:rPr>
                <w:color w:val="000000"/>
                <w:sz w:val="24"/>
              </w:rPr>
              <w:t xml:space="preserve">公平竞争</w:t>
            </w:r>
            <w:r/>
          </w:p>
        </w:tc>
        <w:tc>
          <w:tcPr>
            <w:tcW w:w="3621"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16</w:t>
            </w:r>
            <w:r/>
          </w:p>
        </w:tc>
        <w:tc>
          <w:tcPr>
            <w:tcW w:w="975" w:type="pct"/>
            <w:vAlign w:val="center"/>
            <w:textDirection w:val="lrTb"/>
            <w:noWrap w:val="false"/>
          </w:tcPr>
          <w:p>
            <w:pPr>
              <w:jc w:val="center"/>
              <w:widowControl/>
              <w:rPr>
                <w:color w:val="000000"/>
                <w:sz w:val="24"/>
              </w:rPr>
            </w:pPr>
            <w:r>
              <w:rPr>
                <w:color w:val="000000"/>
                <w:sz w:val="24"/>
              </w:rPr>
              <w:t xml:space="preserve">串通投标</w:t>
            </w:r>
            <w:r/>
          </w:p>
        </w:tc>
        <w:tc>
          <w:tcPr>
            <w:tcW w:w="3621"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color w:val="000000"/>
                <w:sz w:val="24"/>
              </w:rPr>
              <w:t xml:space="preserve">17</w:t>
            </w:r>
            <w:r/>
          </w:p>
        </w:tc>
        <w:tc>
          <w:tcPr>
            <w:tcW w:w="975" w:type="pct"/>
            <w:vAlign w:val="center"/>
            <w:textDirection w:val="lrTb"/>
            <w:noWrap w:val="false"/>
          </w:tcPr>
          <w:p>
            <w:pPr>
              <w:jc w:val="center"/>
              <w:widowControl/>
              <w:rPr>
                <w:color w:val="000000"/>
                <w:sz w:val="24"/>
              </w:rPr>
            </w:pPr>
            <w:r>
              <w:rPr>
                <w:color w:val="000000"/>
                <w:sz w:val="24"/>
              </w:rPr>
              <w:t xml:space="preserve">附加条件</w:t>
            </w:r>
            <w:r/>
          </w:p>
        </w:tc>
        <w:tc>
          <w:tcPr>
            <w:tcW w:w="3621"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975" w:type="pct"/>
            <w:vAlign w:val="center"/>
            <w:textDirection w:val="lrTb"/>
            <w:noWrap w:val="false"/>
          </w:tcPr>
          <w:p>
            <w:pPr>
              <w:jc w:val="center"/>
              <w:widowControl/>
              <w:rPr>
                <w:color w:val="000000"/>
                <w:sz w:val="24"/>
              </w:rPr>
            </w:pPr>
            <w:r>
              <w:rPr>
                <w:color w:val="000000"/>
                <w:sz w:val="24"/>
              </w:rPr>
              <w:t xml:space="preserve">其他无效情形</w:t>
            </w:r>
            <w:r/>
          </w:p>
        </w:tc>
        <w:tc>
          <w:tcPr>
            <w:tcW w:w="3621"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67"/>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264969236"/>
      <w:r/>
      <w:bookmarkStart w:id="761" w:name="_Toc226337242"/>
      <w:r/>
      <w:bookmarkStart w:id="762" w:name="_Toc151193860"/>
      <w:r/>
      <w:bookmarkStart w:id="763" w:name="_Toc151193716"/>
      <w:r/>
      <w:bookmarkStart w:id="764" w:name="_Toc164351640"/>
      <w:r/>
      <w:bookmarkStart w:id="765" w:name="_Toc149720839"/>
      <w:r/>
      <w:bookmarkStart w:id="766" w:name="_Toc142311048"/>
      <w:r/>
      <w:bookmarkStart w:id="767" w:name="_Toc127151546"/>
      <w:r/>
      <w:bookmarkStart w:id="768" w:name="_Toc305158814"/>
      <w:r/>
      <w:bookmarkStart w:id="769" w:name="_Toc127161460"/>
      <w:r/>
      <w:bookmarkStart w:id="770" w:name="_Ref467307010"/>
      <w:r/>
      <w:bookmarkStart w:id="771" w:name="_Toc305158888"/>
      <w:r/>
      <w:bookmarkStart w:id="772" w:name="_Toc150774751"/>
      <w:r/>
      <w:bookmarkStart w:id="773" w:name="_Toc164229387"/>
      <w:r/>
      <w:bookmarkStart w:id="774" w:name="_Toc150509297"/>
      <w:r/>
      <w:bookmarkStart w:id="775" w:name="_Toc265228384"/>
      <w:r/>
      <w:bookmarkStart w:id="776" w:name="_Toc226965819"/>
      <w:r/>
      <w:bookmarkStart w:id="777" w:name="_Toc150480784"/>
      <w:r/>
      <w:bookmarkStart w:id="778" w:name="_Toc151193644"/>
      <w:r/>
      <w:bookmarkStart w:id="779" w:name="_Toc151190173"/>
      <w:r/>
      <w:bookmarkStart w:id="780" w:name="_Toc164608815"/>
      <w:r/>
      <w:bookmarkStart w:id="781" w:name="_Toc150774646"/>
      <w:r/>
      <w:bookmarkStart w:id="782" w:name="_Toc164229241"/>
      <w:r/>
      <w:bookmarkStart w:id="783" w:name="_Toc164608660"/>
      <w:r/>
      <w:bookmarkStart w:id="784" w:name="_Toc226965736"/>
      <w:r/>
      <w:bookmarkStart w:id="785" w:name="_Toc127151747"/>
      <w:r/>
      <w:bookmarkStart w:id="786" w:name="_Toc195842911"/>
      <w:r/>
      <w:bookmarkStart w:id="787" w:name="_Toc520356170"/>
      <w:r/>
      <w:bookmarkStart w:id="788" w:name="_Toc226309790"/>
      <w:r/>
      <w:bookmarkStart w:id="789" w:name="_Toc151193934"/>
      <w:r/>
      <w:bookmarkStart w:id="790" w:name="_Toc151193788"/>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12"/>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12"/>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1"/>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898"/>
        <w:tblW w:w="8983" w:type="dxa"/>
        <w:jc w:val="center"/>
        <w:tblLayout w:type="fixed"/>
        <w:tblCellMar>
          <w:left w:w="108" w:type="dxa"/>
          <w:top w:w="0" w:type="dxa"/>
          <w:right w:w="108" w:type="dxa"/>
          <w:bottom w:w="0" w:type="dxa"/>
        </w:tblCellMar>
        <w:tblLook w:val="04A0" w:firstRow="1" w:lastRow="0" w:firstColumn="1" w:lastColumn="0" w:noHBand="0" w:noVBand="1"/>
      </w:tblPr>
      <w:tblGrid>
        <w:gridCol w:w="1582"/>
        <w:gridCol w:w="6271"/>
        <w:gridCol w:w="1130"/>
      </w:tblGrid>
      <w:tr>
        <w:trPr>
          <w:jc w:val="center"/>
          <w:trHeight w:val="402"/>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评分项目</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评分要求</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分值</w:t>
            </w:r>
            <w:r/>
          </w:p>
        </w:tc>
      </w:tr>
      <w:tr>
        <w:trPr>
          <w:jc w:val="center"/>
          <w:trHeight w:val="45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满足招标文件要求且投标价格最低的投标报价为评标基准价，其价格分为满分。其他投标人的价格分统一按照下列公式计算：投标报价得分＝（评标基准价/投标报价）×分值。</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r>
      <w:tr>
        <w:trPr>
          <w:jc w:val="center"/>
          <w:trHeight w:val="416"/>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业绩</w:t>
            </w:r>
            <w:r/>
          </w:p>
          <w:p>
            <w:pPr>
              <w:ind w:left="840" w:firstLine="482"/>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lang w:val="zh-Hans"/>
              </w:rPr>
              <w:t xml:space="preserve">投标人</w:t>
            </w:r>
            <w:r>
              <w:rPr>
                <w:rFonts w:hint="eastAsia" w:ascii="宋体" w:hAnsi="宋体" w:cs="宋体"/>
                <w:sz w:val="24"/>
              </w:rPr>
              <w:t xml:space="preserve">或所投产品制造商</w:t>
            </w:r>
            <w:r>
              <w:rPr>
                <w:rFonts w:hint="eastAsia" w:ascii="宋体" w:hAnsi="宋体" w:cs="宋体"/>
                <w:sz w:val="24"/>
                <w:lang w:val="zh-Hans"/>
              </w:rPr>
              <w:t xml:space="preserve">具有自202</w:t>
            </w:r>
            <w:r>
              <w:rPr>
                <w:rFonts w:hint="eastAsia" w:ascii="宋体" w:hAnsi="宋体" w:cs="宋体"/>
                <w:sz w:val="24"/>
              </w:rPr>
              <w:t xml:space="preserve">2</w:t>
            </w:r>
            <w:r>
              <w:rPr>
                <w:rFonts w:hint="eastAsia" w:ascii="宋体" w:hAnsi="宋体" w:cs="宋体"/>
                <w:sz w:val="24"/>
                <w:lang w:val="zh-Hans"/>
              </w:rPr>
              <w:t xml:space="preserve">年1月1日以来（以合同签订日期为准）与所投产品同品牌产品的销售业绩</w:t>
            </w:r>
            <w:r>
              <w:rPr>
                <w:rFonts w:hint="eastAsia" w:ascii="宋体" w:hAnsi="宋体" w:cs="宋体"/>
                <w:sz w:val="24"/>
              </w:rPr>
              <w:t xml:space="preserve">，每提供一份有效业绩合同得</w:t>
            </w:r>
            <w:r>
              <w:rPr>
                <w:rFonts w:ascii="宋体" w:hAnsi="宋体" w:cs="宋体"/>
                <w:color w:val="000000" w:themeColor="text1"/>
                <w:sz w:val="24"/>
                <w14:textFill>
                  <w14:solidFill>
                    <w14:schemeClr w14:val="tx1"/>
                  </w14:solidFill>
                </w14:textFill>
              </w:rPr>
              <w:t xml:space="preserve">1</w:t>
            </w:r>
            <w:r>
              <w:rPr>
                <w:rFonts w:hint="eastAsia" w:ascii="宋体" w:hAnsi="宋体" w:cs="宋体"/>
                <w:sz w:val="24"/>
              </w:rPr>
              <w:t xml:space="preserve">分，最多得</w:t>
            </w:r>
            <w:r>
              <w:rPr>
                <w:rFonts w:ascii="宋体" w:hAnsi="宋体" w:cs="宋体"/>
                <w:sz w:val="24"/>
              </w:rPr>
              <w:t xml:space="preserve">5</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b/>
                <w:bCs/>
                <w:sz w:val="24"/>
              </w:rPr>
              <w:t xml:space="preserve">注：投标文件提供业绩合同复印件并加盖投标人公章，未提供不得分。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产品性能和响应情况</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技术要求的符合性，即对提供货物的技术参数是否符合《采购需求》-“</w:t>
            </w:r>
            <w:r>
              <w:rPr>
                <w:rFonts w:hint="eastAsia"/>
                <w:b/>
                <w:bCs/>
                <w:sz w:val="24"/>
              </w:rPr>
              <w:t xml:space="preserve">产品具体参数要求</w:t>
            </w:r>
            <w:r>
              <w:rPr>
                <w:rFonts w:hint="eastAsia" w:ascii="宋体" w:hAnsi="宋体" w:cs="宋体"/>
                <w:sz w:val="24"/>
              </w:rPr>
              <w:t xml:space="preserve">”要求进行评价。全部符合技术要求的得4</w:t>
            </w:r>
            <w:r>
              <w:rPr>
                <w:rFonts w:ascii="宋体" w:hAnsi="宋体" w:cs="宋体"/>
                <w:sz w:val="24"/>
              </w:rPr>
              <w:t xml:space="preserve">5</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“▲”项为重要参数，每一项负偏离，扣5分；其余参数为一般参数，每有一项负偏离的，扣</w:t>
            </w:r>
            <w:r>
              <w:rPr>
                <w:rFonts w:ascii="宋体" w:hAnsi="宋体" w:cs="宋体"/>
                <w:sz w:val="24"/>
              </w:rPr>
              <w:t xml:space="preserve">2</w:t>
            </w:r>
            <w:r>
              <w:rPr>
                <w:rFonts w:hint="eastAsia" w:ascii="宋体" w:hAnsi="宋体" w:cs="宋体"/>
                <w:sz w:val="24"/>
              </w:rPr>
              <w:t xml:space="preserve">分，扣完为止。</w:t>
            </w:r>
            <w:r/>
          </w:p>
          <w:p>
            <w:pPr>
              <w:jc w:val="left"/>
              <w:widowControl/>
              <w:rPr>
                <w:rFonts w:ascii="宋体" w:hAnsi="宋体" w:cs="宋体"/>
                <w:b/>
                <w:bCs/>
                <w:color w:val="ff0000"/>
                <w:sz w:val="24"/>
                <w:highlight w:val="yellow"/>
              </w:rPr>
            </w:pPr>
            <w:r>
              <w:rPr>
                <w:rFonts w:hint="eastAsia" w:ascii="宋体" w:hAnsi="宋体" w:cs="宋体"/>
                <w:b/>
                <w:bCs/>
                <w:sz w:val="24"/>
              </w:rPr>
              <w:t xml:space="preserve">注</w:t>
            </w:r>
            <w:r>
              <w:rPr>
                <w:rFonts w:hint="eastAsia" w:ascii="宋体" w:hAnsi="宋体" w:cs="宋体"/>
                <w:b/>
                <w:bCs/>
                <w:color w:val="000000" w:themeColor="text1"/>
                <w:sz w:val="24"/>
                <w14:textFill>
                  <w14:solidFill>
                    <w14:schemeClr w14:val="tx1"/>
                  </w14:solidFill>
                </w14:textFill>
              </w:rPr>
              <w:t xml:space="preserve">：投标文件中应提供《采购需求偏离表》，并将参数偏离情况逐一列出；“▲”参数还应提供官网截图或彩页或实测数据等证明材料并加盖投标人公章，否则评审小组有权视相应技术参数负偏离。</w:t>
            </w:r>
            <w:r/>
          </w:p>
          <w:p>
            <w:pPr>
              <w:jc w:val="left"/>
              <w:widowControl/>
              <w:rPr>
                <w:rFonts w:ascii="宋体" w:hAnsi="宋体" w:cs="宋体"/>
                <w:sz w:val="24"/>
              </w:rPr>
            </w:pPr>
            <w:r>
              <w:rPr>
                <w:rFonts w:hint="eastAsia" w:ascii="宋体" w:hAnsi="宋体" w:cs="宋体"/>
                <w:b/>
                <w:bCs/>
                <w:sz w:val="24"/>
              </w:rPr>
              <w:t xml:space="preserve">为便于评分，请投标人在偏离表中逐条列出证明材料所在页码，因未列明所在页码而造成的后果由投标人自行承担。</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r>
      <w:tr>
        <w:trPr>
          <w:jc w:val="center"/>
          <w:trHeight w:val="9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根据投标人提供的项目实施方案内容的完整性及进度计划安排的合理性进行打分，包括但不限于技术和人员力量、按时保质地完成供货、安装、</w:t>
            </w:r>
            <w:r>
              <w:rPr>
                <w:rFonts w:hint="eastAsia" w:ascii="宋体" w:hAnsi="宋体" w:cs="宋体"/>
                <w:color w:val="000000" w:themeColor="text1"/>
                <w:sz w:val="24"/>
                <w14:textFill>
                  <w14:solidFill>
                    <w14:schemeClr w14:val="tx1"/>
                  </w14:solidFill>
                </w14:textFill>
              </w:rPr>
              <w:t xml:space="preserve">调试、验收等内容。</w:t>
            </w:r>
            <w:r/>
          </w:p>
          <w:p>
            <w:pPr>
              <w:spacing w:line="360" w:lineRule="exact"/>
              <w:rPr>
                <w:rFonts w:ascii="宋体" w:hAnsi="宋体" w:cs="宋体"/>
                <w:sz w:val="24"/>
              </w:rPr>
            </w:pPr>
            <w:r>
              <w:rPr>
                <w:rFonts w:hint="eastAsia" w:ascii="宋体" w:hAnsi="宋体" w:cs="宋体"/>
                <w:sz w:val="24"/>
              </w:rPr>
              <w:t xml:space="preserve">1.实施方案内容完整、进度计划安排紧密合理、满足采购人需求的得7分；</w:t>
            </w:r>
            <w:r/>
          </w:p>
          <w:p>
            <w:pPr>
              <w:spacing w:line="360" w:lineRule="exact"/>
              <w:rPr>
                <w:rFonts w:ascii="宋体" w:hAnsi="宋体" w:cs="宋体"/>
                <w:sz w:val="24"/>
              </w:rPr>
            </w:pPr>
            <w:r>
              <w:rPr>
                <w:rFonts w:hint="eastAsia" w:ascii="宋体" w:hAnsi="宋体" w:cs="宋体"/>
                <w:sz w:val="24"/>
              </w:rPr>
              <w:t xml:space="preserve">2.实施方案内容较完整、进度计划安排较紧密合理、基本采购人需求的得5分；</w:t>
            </w:r>
            <w:r/>
          </w:p>
          <w:p>
            <w:pPr>
              <w:spacing w:line="360" w:lineRule="exact"/>
              <w:rPr>
                <w:rFonts w:ascii="宋体" w:hAnsi="宋体" w:cs="宋体"/>
                <w:sz w:val="24"/>
              </w:rPr>
            </w:pPr>
            <w:r>
              <w:rPr>
                <w:rFonts w:hint="eastAsia" w:ascii="宋体" w:hAnsi="宋体" w:cs="宋体"/>
                <w:sz w:val="24"/>
              </w:rPr>
              <w:t xml:space="preserve">3.实施方案内容简单、进度计划安排略松散合理、较能满足采购人需求的得3分；</w:t>
            </w:r>
            <w:r/>
          </w:p>
          <w:p>
            <w:pPr>
              <w:pStyle w:val="906"/>
              <w:rPr>
                <w:rFonts w:cs="宋体"/>
              </w:rPr>
            </w:pPr>
            <w:r>
              <w:rPr>
                <w:rFonts w:hint="eastAsia" w:cs="宋体"/>
              </w:rPr>
              <w:t xml:space="preserve">4.实施方案内容粗糙，进度计划安排粗略不够合理、不能满足采购人需求的得1分。</w:t>
            </w:r>
            <w:r/>
          </w:p>
          <w:p>
            <w:pPr>
              <w:jc w:val="left"/>
              <w:widowControl/>
              <w:rPr>
                <w:rFonts w:ascii="宋体" w:hAnsi="宋体" w:cs="宋体"/>
                <w:sz w:val="24"/>
                <w:lang w:eastAsia="zh-Hans"/>
              </w:rPr>
            </w:pPr>
            <w:r>
              <w:rPr>
                <w:rFonts w:hint="eastAsia" w:ascii="宋体" w:hAnsi="宋体" w:cs="宋体"/>
                <w:sz w:val="24"/>
              </w:rPr>
              <w:t xml:space="preserve">不提供不得分。</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r>
      <w:tr>
        <w:trPr>
          <w:jc w:val="center"/>
          <w:trHeight w:val="98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培训方案评分：包括但不限于系统的培训内容、时间、地点、人次、安装维护、调试、配置及使用技能、业务人员培训、应用操作及使用等内容。</w:t>
            </w:r>
            <w:r/>
          </w:p>
          <w:p>
            <w:pPr>
              <w:spacing w:line="360" w:lineRule="exact"/>
              <w:rPr>
                <w:rFonts w:ascii="宋体" w:hAnsi="宋体" w:cs="宋体"/>
                <w:sz w:val="24"/>
              </w:rPr>
            </w:pPr>
            <w:r>
              <w:rPr>
                <w:rFonts w:hint="eastAsia" w:ascii="宋体" w:hAnsi="宋体" w:cs="宋体"/>
                <w:sz w:val="24"/>
              </w:rPr>
              <w:t xml:space="preserve">1.实施方案内容完整、培训计划安排紧密合理，满足采购人需求的得6分；</w:t>
            </w:r>
            <w:r/>
          </w:p>
          <w:p>
            <w:pPr>
              <w:spacing w:line="360" w:lineRule="exact"/>
              <w:rPr>
                <w:rFonts w:ascii="宋体" w:hAnsi="宋体" w:cs="宋体"/>
                <w:sz w:val="24"/>
              </w:rPr>
            </w:pPr>
            <w:r>
              <w:rPr>
                <w:rFonts w:hint="eastAsia" w:ascii="宋体" w:hAnsi="宋体" w:cs="宋体"/>
                <w:sz w:val="24"/>
              </w:rPr>
              <w:t xml:space="preserve">2.实施方案内容较完整、培训计划安排较紧密合理、基本采购人需求的得4分；</w:t>
            </w:r>
            <w:r/>
          </w:p>
          <w:p>
            <w:pPr>
              <w:spacing w:line="360" w:lineRule="exact"/>
              <w:rPr>
                <w:rFonts w:ascii="宋体" w:hAnsi="宋体" w:cs="宋体"/>
                <w:sz w:val="24"/>
              </w:rPr>
            </w:pPr>
            <w:r>
              <w:rPr>
                <w:rFonts w:hint="eastAsia" w:ascii="宋体" w:hAnsi="宋体" w:cs="宋体"/>
                <w:sz w:val="24"/>
              </w:rPr>
              <w:t xml:space="preserve">3.实施方案内容简单，培训计划安排粗略不够合理、不能满足采购人需求的得2分。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r>
      <w:tr>
        <w:trPr>
          <w:jc w:val="center"/>
          <w:trHeight w:val="247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w:t>
            </w:r>
            <w:r/>
          </w:p>
          <w:p>
            <w:pPr>
              <w:jc w:val="center"/>
              <w:widowControl/>
              <w:rPr>
                <w:rFonts w:ascii="宋体" w:hAnsi="宋体" w:cs="宋体"/>
                <w:sz w:val="24"/>
              </w:rPr>
            </w:pPr>
            <w:r>
              <w:rPr>
                <w:rFonts w:hint="eastAsia" w:ascii="宋体" w:hAnsi="宋体" w:cs="宋体"/>
                <w:sz w:val="24"/>
              </w:rPr>
              <w:t xml:space="preserve">管理方案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针对本项目制定的售后服务管理体系方案，包括质保期内、质保期外的投标产品的售后服务人员、服务机制、响应时间、故障解决、维修保障等内容的合理性和可行性。</w:t>
            </w:r>
            <w:r/>
          </w:p>
          <w:p>
            <w:pPr>
              <w:spacing w:line="360" w:lineRule="exact"/>
              <w:rPr>
                <w:rFonts w:ascii="宋体" w:hAnsi="宋体" w:cs="宋体"/>
                <w:sz w:val="24"/>
              </w:rPr>
            </w:pPr>
            <w:r>
              <w:rPr>
                <w:rFonts w:hint="eastAsia" w:ascii="宋体" w:hAnsi="宋体" w:cs="宋体"/>
                <w:sz w:val="24"/>
              </w:rPr>
              <w:t xml:space="preserve">1.实施方案内容完整、售后管理安排合理、维修方面保障完善，满足采购人需求的得7分;</w:t>
            </w:r>
            <w:r/>
          </w:p>
          <w:p>
            <w:pPr>
              <w:spacing w:line="360" w:lineRule="exact"/>
              <w:rPr>
                <w:rFonts w:ascii="宋体" w:hAnsi="宋体" w:cs="宋体"/>
                <w:sz w:val="24"/>
              </w:rPr>
            </w:pPr>
            <w:r>
              <w:rPr>
                <w:rFonts w:hint="eastAsia" w:ascii="宋体" w:hAnsi="宋体" w:cs="宋体"/>
                <w:sz w:val="24"/>
              </w:rPr>
              <w:t xml:space="preserve">2.实施方案内容较完整、售后管理安排较合理、维修方面保障基本采购人需求的</w:t>
            </w:r>
            <w:r>
              <w:rPr>
                <w:rFonts w:hint="eastAsia" w:ascii="宋体" w:hAnsi="宋体" w:cs="宋体"/>
                <w:color w:val="000000" w:themeColor="text1"/>
                <w:sz w:val="24"/>
                <w14:textFill>
                  <w14:solidFill>
                    <w14:schemeClr w14:val="tx1"/>
                  </w14:solidFill>
                </w14:textFill>
              </w:rPr>
              <w:t xml:space="preserve">得5分；</w:t>
            </w:r>
            <w:r/>
          </w:p>
          <w:p>
            <w:pPr>
              <w:spacing w:line="360" w:lineRule="exact"/>
              <w:rPr>
                <w:rFonts w:ascii="宋体" w:hAnsi="宋体" w:cs="宋体"/>
                <w:sz w:val="24"/>
              </w:rPr>
            </w:pPr>
            <w:r>
              <w:rPr>
                <w:rFonts w:hint="eastAsia" w:ascii="宋体" w:hAnsi="宋体" w:cs="宋体"/>
                <w:sz w:val="24"/>
              </w:rPr>
              <w:t xml:space="preserve">3.实施方案内容简单、售后管理安排不够合理、维修方面有一些保障机制，但保障力明显不足得3分；</w:t>
            </w:r>
            <w:r/>
          </w:p>
          <w:p>
            <w:pPr>
              <w:spacing w:line="360" w:lineRule="exact"/>
              <w:rPr>
                <w:rFonts w:ascii="宋体" w:hAnsi="宋体" w:cs="宋体"/>
                <w:sz w:val="24"/>
              </w:rPr>
            </w:pPr>
            <w:r>
              <w:rPr>
                <w:rFonts w:hint="eastAsia" w:ascii="宋体" w:hAnsi="宋体" w:cs="宋体"/>
                <w:sz w:val="24"/>
              </w:rPr>
              <w:t xml:space="preserve">4.实施方案内容粗糙，售后管理安排粗略、维修方面不能满足采购人需求的得1分。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7</w:t>
            </w:r>
            <w:r/>
          </w:p>
        </w:tc>
      </w:tr>
    </w:tbl>
    <w:p>
      <w:pPr>
        <w:ind w:firstLine="723"/>
        <w:rPr>
          <w:b/>
          <w:sz w:val="36"/>
          <w:szCs w:val="36"/>
        </w:rPr>
      </w:pPr>
      <w:r>
        <w:rPr>
          <w:rFonts w:hint="eastAsia"/>
          <w:b/>
          <w:sz w:val="36"/>
          <w:szCs w:val="36"/>
        </w:rPr>
        <w:br w:type="page" w:clear="all"/>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spacing w:line="360" w:lineRule="auto"/>
        <w:rPr>
          <w:rFonts w:ascii="宋体" w:hAnsi="宋体" w:cs="宋体"/>
          <w:b/>
          <w:bCs/>
          <w:sz w:val="24"/>
        </w:rPr>
        <w:outlineLvl w:val="1"/>
      </w:pPr>
      <w:r/>
      <w:bookmarkStart w:id="791" w:name="_Toc99301425"/>
      <w:r>
        <w:rPr>
          <w:rFonts w:hint="eastAsia" w:ascii="宋体" w:hAnsi="宋体" w:cs="宋体"/>
          <w:b/>
          <w:bCs/>
          <w:sz w:val="24"/>
        </w:rPr>
        <w:t xml:space="preserve">一、项目概况</w:t>
      </w:r>
      <w:r/>
    </w:p>
    <w:p>
      <w:pPr>
        <w:ind w:firstLine="480"/>
        <w:spacing w:line="360" w:lineRule="auto"/>
        <w:rPr>
          <w:sz w:val="24"/>
        </w:rPr>
      </w:pPr>
      <w:r>
        <w:rPr>
          <w:rFonts w:hint="eastAsia"/>
          <w:sz w:val="24"/>
        </w:rPr>
        <w:t xml:space="preserve">本项目为常州市食品药品纤维质量监督检验中心X射线衍射仪采购项目，包括但不限于招标文件及其基本技术要求范围内相应产品供货前的准备（包括现场踏勘、技术核对等）、产品设计、制造、采购、运输、装卸、安装、调试、技术指导培训、检验、质保期及维保服务等全部内容。</w:t>
      </w:r>
      <w:r/>
    </w:p>
    <w:p>
      <w:pPr>
        <w:ind w:firstLine="482"/>
        <w:spacing w:line="360" w:lineRule="auto"/>
        <w:rPr>
          <w:b/>
          <w:bCs/>
          <w:sz w:val="24"/>
        </w:rPr>
        <w:outlineLvl w:val="1"/>
      </w:pPr>
      <w:r>
        <w:rPr>
          <w:rFonts w:hint="eastAsia"/>
          <w:b/>
          <w:bCs/>
          <w:sz w:val="24"/>
        </w:rPr>
        <w:t xml:space="preserve">二、技术要求</w:t>
      </w:r>
      <w:r/>
    </w:p>
    <w:p>
      <w:pPr>
        <w:ind w:firstLine="480"/>
        <w:spacing w:line="360" w:lineRule="auto"/>
        <w:rPr>
          <w:sz w:val="24"/>
        </w:rPr>
        <w:outlineLvl w:val="2"/>
      </w:pPr>
      <w:r>
        <w:rPr>
          <w:rFonts w:hint="eastAsia"/>
          <w:sz w:val="24"/>
        </w:rPr>
        <w:t xml:space="preserve">（二）基本要求</w:t>
      </w:r>
      <w:r/>
    </w:p>
    <w:p>
      <w:pPr>
        <w:ind w:firstLine="480"/>
        <w:jc w:val="left"/>
        <w:spacing w:line="360" w:lineRule="auto"/>
        <w:widowControl/>
        <w:rPr>
          <w:sz w:val="24"/>
        </w:rPr>
      </w:pPr>
      <w:r>
        <w:rPr>
          <w:rFonts w:hint="eastAsia"/>
          <w:sz w:val="24"/>
        </w:rPr>
        <w:t xml:space="preserve">1、投标人应保证所供货物的安全性、可靠性、先进性、经济性和实用性，并为全新、未使用过的原装合格正品，完全符合招标文件规定的质量、规格和性能的要求，达到国家或行业规定的标准，满足采购人使用要求，保证能通过采购人的质量验收、竣工验收等各类验收。</w:t>
      </w:r>
      <w:r/>
    </w:p>
    <w:p>
      <w:pPr>
        <w:ind w:firstLine="480"/>
        <w:spacing w:line="360" w:lineRule="auto"/>
        <w:rPr>
          <w:sz w:val="24"/>
        </w:rPr>
      </w:pPr>
      <w:r>
        <w:rPr>
          <w:rFonts w:hint="eastAsia"/>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firstLine="482"/>
        <w:spacing w:line="360" w:lineRule="auto"/>
        <w:rPr>
          <w:b/>
          <w:bCs/>
          <w:sz w:val="24"/>
        </w:rPr>
        <w:outlineLvl w:val="1"/>
      </w:pPr>
      <w:r>
        <w:rPr>
          <w:rFonts w:hint="eastAsia"/>
          <w:b/>
          <w:bCs/>
          <w:sz w:val="24"/>
        </w:rPr>
        <w:t xml:space="preserve">三、产品具体参数要求：</w:t>
      </w:r>
      <w:r/>
    </w:p>
    <w:p>
      <w:pPr>
        <w:ind w:firstLine="482"/>
        <w:spacing w:line="360" w:lineRule="auto"/>
        <w:rPr>
          <w:b/>
          <w:bCs/>
          <w:sz w:val="24"/>
        </w:rPr>
      </w:pPr>
      <w:r>
        <w:rPr>
          <w:rFonts w:hint="eastAsia"/>
          <w:b/>
          <w:bCs/>
          <w:sz w:val="24"/>
        </w:rPr>
        <w:t xml:space="preserve">（一）X射线光源部分</w:t>
      </w:r>
      <w:r/>
    </w:p>
    <w:p>
      <w:pPr>
        <w:ind w:firstLine="480"/>
        <w:spacing w:line="360" w:lineRule="auto"/>
        <w:rPr>
          <w:sz w:val="24"/>
        </w:rPr>
      </w:pPr>
      <w:r>
        <w:rPr>
          <w:rFonts w:hint="eastAsia"/>
          <w:sz w:val="24"/>
        </w:rPr>
        <w:t xml:space="preserve">▲1.输出功率：不低于3kW </w:t>
      </w:r>
      <w:r/>
    </w:p>
    <w:p>
      <w:pPr>
        <w:ind w:firstLine="480"/>
        <w:spacing w:line="360" w:lineRule="auto"/>
        <w:rPr>
          <w:sz w:val="24"/>
        </w:rPr>
      </w:pPr>
      <w:r>
        <w:rPr>
          <w:rFonts w:hint="eastAsia"/>
          <w:sz w:val="24"/>
        </w:rPr>
        <w:t xml:space="preserve">2.最大管电压：60kV</w:t>
      </w:r>
      <w:r/>
    </w:p>
    <w:p>
      <w:pPr>
        <w:ind w:firstLine="480"/>
        <w:spacing w:line="360" w:lineRule="auto"/>
        <w:rPr>
          <w:sz w:val="24"/>
        </w:rPr>
      </w:pPr>
      <w:r>
        <w:rPr>
          <w:rFonts w:hint="eastAsia"/>
          <w:sz w:val="24"/>
        </w:rPr>
        <w:t xml:space="preserve">3.最大管电流：不小于50mA</w:t>
      </w:r>
      <w:r/>
    </w:p>
    <w:p>
      <w:pPr>
        <w:ind w:firstLine="480"/>
        <w:spacing w:line="360" w:lineRule="auto"/>
        <w:rPr>
          <w:sz w:val="24"/>
        </w:rPr>
      </w:pPr>
      <w:r>
        <w:rPr>
          <w:rFonts w:hint="eastAsia"/>
          <w:sz w:val="24"/>
        </w:rPr>
        <w:t xml:space="preserve">▲4.射线发生器：高频高压固态X射线发生器或变频式X射线发生器（最小输出功率不低于3kw）</w:t>
      </w:r>
      <w:r/>
    </w:p>
    <w:p>
      <w:pPr>
        <w:ind w:firstLine="480"/>
        <w:spacing w:line="360" w:lineRule="auto"/>
        <w:rPr>
          <w:sz w:val="24"/>
        </w:rPr>
      </w:pPr>
      <w:r>
        <w:rPr>
          <w:rFonts w:hint="eastAsia"/>
          <w:sz w:val="24"/>
        </w:rPr>
        <w:t xml:space="preserve">▲5.指示灯：配备至少三处指示灯方便随时掌握X射线发生及使用状态</w:t>
      </w:r>
      <w:r/>
    </w:p>
    <w:p>
      <w:pPr>
        <w:ind w:firstLine="482"/>
        <w:spacing w:line="360" w:lineRule="auto"/>
        <w:rPr>
          <w:b/>
          <w:bCs/>
          <w:sz w:val="24"/>
        </w:rPr>
      </w:pPr>
      <w:r>
        <w:rPr>
          <w:rFonts w:hint="eastAsia"/>
          <w:b/>
          <w:bCs/>
          <w:sz w:val="24"/>
        </w:rPr>
        <w:t xml:space="preserve">（二）X射线光管部分</w:t>
      </w:r>
      <w:r/>
    </w:p>
    <w:p>
      <w:pPr>
        <w:ind w:firstLine="480"/>
        <w:spacing w:line="360" w:lineRule="auto"/>
        <w:rPr>
          <w:sz w:val="24"/>
        </w:rPr>
      </w:pPr>
      <w:r>
        <w:rPr>
          <w:rFonts w:hint="eastAsia"/>
          <w:sz w:val="24"/>
        </w:rPr>
        <w:t xml:space="preserve">▲1.光管类型：Cu靶、陶瓷X光管</w:t>
      </w:r>
      <w:r/>
    </w:p>
    <w:p>
      <w:pPr>
        <w:ind w:firstLine="480"/>
        <w:spacing w:line="360" w:lineRule="auto"/>
        <w:rPr>
          <w:sz w:val="24"/>
        </w:rPr>
      </w:pPr>
      <w:r>
        <w:rPr>
          <w:rFonts w:hint="eastAsia"/>
          <w:sz w:val="24"/>
        </w:rPr>
        <w:t xml:space="preserve">2.光管功率：≥2.2kW</w:t>
      </w:r>
      <w:r/>
    </w:p>
    <w:p>
      <w:pPr>
        <w:ind w:firstLine="480"/>
        <w:spacing w:line="360" w:lineRule="auto"/>
        <w:rPr>
          <w:sz w:val="24"/>
        </w:rPr>
      </w:pPr>
      <w:r>
        <w:rPr>
          <w:rFonts w:hint="eastAsia"/>
          <w:sz w:val="24"/>
        </w:rPr>
        <w:t xml:space="preserve">3.光管焦斑：0.4*12 mm</w:t>
      </w:r>
      <w:r/>
    </w:p>
    <w:p>
      <w:pPr>
        <w:ind w:firstLine="480"/>
        <w:spacing w:line="360" w:lineRule="auto"/>
        <w:rPr>
          <w:sz w:val="24"/>
        </w:rPr>
      </w:pPr>
      <w:r>
        <w:rPr>
          <w:rFonts w:hint="eastAsia"/>
          <w:sz w:val="24"/>
        </w:rPr>
        <w:t xml:space="preserve">▲4. X射线防护：配备</w:t>
      </w:r>
      <w:r>
        <w:rPr>
          <w:sz w:val="24"/>
        </w:rPr>
        <w:t xml:space="preserve">防护罩及</w:t>
      </w:r>
      <w:r>
        <w:rPr>
          <w:rFonts w:hint="eastAsia"/>
          <w:sz w:val="24"/>
        </w:rPr>
        <w:t xml:space="preserve">安全连锁机构，辐射当量小于1.0μSv/h，当</w:t>
      </w:r>
      <w:r>
        <w:rPr>
          <w:sz w:val="24"/>
        </w:rPr>
        <w:t xml:space="preserve">仪器处于</w:t>
      </w:r>
      <w:r>
        <w:rPr>
          <w:rFonts w:hint="eastAsia"/>
          <w:sz w:val="24"/>
        </w:rPr>
        <w:t xml:space="preserve">开机状态非测试条件下确保无X射线发生，防护罩外任何一点的辐射剂量小于1μSV/h</w:t>
      </w:r>
      <w:r/>
    </w:p>
    <w:p>
      <w:pPr>
        <w:ind w:firstLine="480"/>
        <w:spacing w:line="360" w:lineRule="auto"/>
        <w:rPr>
          <w:sz w:val="24"/>
        </w:rPr>
      </w:pPr>
      <w:r>
        <w:rPr>
          <w:rFonts w:hint="eastAsia"/>
          <w:sz w:val="24"/>
        </w:rPr>
        <w:t xml:space="preserve">▲5.采用旋转光管技术，无需拆卸光管，即可实现线焦斑和点焦斑的转换</w:t>
      </w:r>
      <w:r/>
    </w:p>
    <w:p>
      <w:pPr>
        <w:ind w:firstLine="480"/>
        <w:spacing w:line="360" w:lineRule="auto"/>
        <w:rPr>
          <w:sz w:val="24"/>
        </w:rPr>
      </w:pPr>
      <w:r>
        <w:rPr>
          <w:rFonts w:hint="eastAsia"/>
          <w:sz w:val="24"/>
        </w:rPr>
        <w:t xml:space="preserve">▲6.可通过软件控制实现自动光管老化及自动校准功能</w:t>
      </w:r>
      <w:r/>
    </w:p>
    <w:p>
      <w:pPr>
        <w:ind w:firstLine="482"/>
        <w:spacing w:line="360" w:lineRule="auto"/>
        <w:rPr>
          <w:b/>
          <w:bCs/>
          <w:sz w:val="24"/>
        </w:rPr>
      </w:pPr>
      <w:r>
        <w:rPr>
          <w:rFonts w:hint="eastAsia"/>
          <w:b/>
          <w:bCs/>
          <w:sz w:val="24"/>
        </w:rPr>
        <w:t xml:space="preserve">（三）测角仪部分</w:t>
      </w:r>
      <w:r/>
    </w:p>
    <w:p>
      <w:pPr>
        <w:ind w:firstLine="480"/>
        <w:spacing w:line="360" w:lineRule="auto"/>
        <w:rPr>
          <w:sz w:val="24"/>
        </w:rPr>
      </w:pPr>
      <w:r>
        <w:rPr>
          <w:rFonts w:hint="eastAsia"/>
          <w:sz w:val="24"/>
        </w:rPr>
        <w:t xml:space="preserve">▲1.仪器结构：垂直型(θ/θ联动)， </w:t>
      </w:r>
      <w:r/>
    </w:p>
    <w:p>
      <w:pPr>
        <w:ind w:firstLine="480"/>
        <w:spacing w:line="360" w:lineRule="auto"/>
        <w:rPr>
          <w:sz w:val="24"/>
        </w:rPr>
      </w:pPr>
      <w:r>
        <w:rPr>
          <w:rFonts w:hint="eastAsia"/>
          <w:sz w:val="24"/>
        </w:rPr>
        <w:t xml:space="preserve">▲2.扫描范围：能覆盖0°~163°(2θ) </w:t>
      </w:r>
      <w:r/>
    </w:p>
    <w:p>
      <w:pPr>
        <w:ind w:firstLine="480"/>
        <w:spacing w:line="360" w:lineRule="auto"/>
        <w:rPr>
          <w:sz w:val="24"/>
        </w:rPr>
      </w:pPr>
      <w:r>
        <w:rPr>
          <w:rFonts w:hint="eastAsia"/>
          <w:sz w:val="24"/>
        </w:rPr>
        <w:t xml:space="preserve">3.测角仪半径：≥185mm</w:t>
      </w:r>
      <w:r/>
    </w:p>
    <w:p>
      <w:pPr>
        <w:ind w:firstLine="480"/>
        <w:spacing w:line="360" w:lineRule="auto"/>
        <w:rPr>
          <w:sz w:val="24"/>
        </w:rPr>
      </w:pPr>
      <w:r>
        <w:rPr>
          <w:rFonts w:hint="eastAsia"/>
          <w:sz w:val="24"/>
        </w:rPr>
        <w:t xml:space="preserve">▲4.角度精度：0.0001°</w:t>
      </w:r>
      <w:r/>
    </w:p>
    <w:p>
      <w:pPr>
        <w:ind w:firstLine="480"/>
        <w:spacing w:line="360" w:lineRule="auto"/>
        <w:rPr>
          <w:sz w:val="24"/>
        </w:rPr>
      </w:pPr>
      <w:r>
        <w:rPr>
          <w:rFonts w:hint="eastAsia"/>
          <w:sz w:val="24"/>
        </w:rPr>
        <w:t xml:space="preserve">5.角度重现性：0.0001°</w:t>
      </w:r>
      <w:r/>
    </w:p>
    <w:p>
      <w:pPr>
        <w:ind w:firstLine="480"/>
        <w:spacing w:line="360" w:lineRule="auto"/>
        <w:rPr>
          <w:sz w:val="24"/>
        </w:rPr>
      </w:pPr>
      <w:r>
        <w:rPr>
          <w:rFonts w:hint="eastAsia"/>
          <w:sz w:val="24"/>
        </w:rPr>
        <w:t xml:space="preserve">▲6.最高定位速度：不小于850°/min(2θ)</w:t>
      </w:r>
      <w:r/>
    </w:p>
    <w:p>
      <w:pPr>
        <w:ind w:firstLine="480"/>
        <w:spacing w:line="360" w:lineRule="auto"/>
        <w:rPr>
          <w:sz w:val="24"/>
        </w:rPr>
      </w:pPr>
      <w:r>
        <w:rPr>
          <w:rFonts w:hint="eastAsia"/>
          <w:sz w:val="24"/>
        </w:rPr>
        <w:t xml:space="preserve">7.扫描模式： 连续、步进、Omg扫描</w:t>
      </w:r>
      <w:r/>
    </w:p>
    <w:p>
      <w:pPr>
        <w:ind w:firstLine="480"/>
        <w:spacing w:line="360" w:lineRule="auto"/>
        <w:rPr>
          <w:sz w:val="24"/>
        </w:rPr>
      </w:pPr>
      <w:r>
        <w:rPr>
          <w:rFonts w:hint="eastAsia"/>
          <w:sz w:val="24"/>
        </w:rPr>
        <w:t xml:space="preserve">8.衍射单色器: 全聚焦弯晶石墨晶体</w:t>
      </w:r>
      <w:r/>
    </w:p>
    <w:p>
      <w:pPr>
        <w:ind w:firstLine="480"/>
        <w:spacing w:line="360" w:lineRule="auto"/>
        <w:rPr>
          <w:sz w:val="24"/>
        </w:rPr>
      </w:pPr>
      <w:r>
        <w:rPr>
          <w:rFonts w:hint="eastAsia"/>
          <w:sz w:val="24"/>
        </w:rPr>
        <w:t xml:space="preserve">▲9.可通过软件实现仪器自动校准</w:t>
      </w:r>
      <w:r/>
    </w:p>
    <w:p>
      <w:pPr>
        <w:ind w:firstLine="482"/>
        <w:spacing w:line="360" w:lineRule="auto"/>
        <w:rPr>
          <w:b/>
          <w:bCs/>
          <w:sz w:val="24"/>
        </w:rPr>
      </w:pPr>
      <w:r>
        <w:rPr>
          <w:rFonts w:hint="eastAsia"/>
          <w:b/>
          <w:bCs/>
          <w:sz w:val="24"/>
        </w:rPr>
        <w:t xml:space="preserve">（四）探测器部分</w:t>
      </w:r>
      <w:r/>
    </w:p>
    <w:p>
      <w:pPr>
        <w:ind w:firstLine="480"/>
        <w:spacing w:line="360" w:lineRule="auto"/>
        <w:rPr>
          <w:sz w:val="24"/>
        </w:rPr>
      </w:pPr>
      <w:r>
        <w:rPr>
          <w:rFonts w:hint="eastAsia"/>
          <w:sz w:val="24"/>
        </w:rPr>
        <w:t xml:space="preserve">▲1.探测器类型：阵列探测器 </w:t>
      </w:r>
      <w:r/>
    </w:p>
    <w:p>
      <w:pPr>
        <w:ind w:firstLine="480"/>
        <w:spacing w:line="360" w:lineRule="auto"/>
        <w:rPr>
          <w:sz w:val="24"/>
        </w:rPr>
      </w:pPr>
      <w:r>
        <w:rPr>
          <w:rFonts w:hint="eastAsia"/>
          <w:sz w:val="24"/>
        </w:rPr>
        <w:t xml:space="preserve">▲2.最大计数: 不小于5×10</w:t>
      </w:r>
      <w:r>
        <w:rPr>
          <w:rFonts w:hint="eastAsia"/>
          <w:sz w:val="24"/>
          <w:vertAlign w:val="superscript"/>
        </w:rPr>
        <w:t xml:space="preserve">5</w:t>
      </w:r>
      <w:r>
        <w:rPr>
          <w:rFonts w:hint="eastAsia"/>
          <w:sz w:val="24"/>
        </w:rPr>
        <w:t xml:space="preserve">cps  </w:t>
      </w:r>
      <w:r/>
    </w:p>
    <w:p>
      <w:pPr>
        <w:ind w:firstLine="482"/>
        <w:spacing w:line="360" w:lineRule="auto"/>
        <w:rPr>
          <w:b/>
          <w:bCs/>
          <w:sz w:val="24"/>
        </w:rPr>
      </w:pPr>
      <w:r>
        <w:rPr>
          <w:rFonts w:hint="eastAsia"/>
          <w:b/>
          <w:bCs/>
          <w:sz w:val="24"/>
        </w:rPr>
        <w:t xml:space="preserve">（五）控制和数据采集系统</w:t>
      </w:r>
      <w:r/>
    </w:p>
    <w:p>
      <w:pPr>
        <w:ind w:firstLine="480"/>
        <w:spacing w:line="360" w:lineRule="auto"/>
        <w:rPr>
          <w:sz w:val="24"/>
        </w:rPr>
      </w:pPr>
      <w:r>
        <w:rPr>
          <w:sz w:val="24"/>
        </w:rPr>
        <w:t xml:space="preserve">1</w:t>
      </w:r>
      <w:r>
        <w:rPr>
          <w:rFonts w:hint="eastAsia"/>
          <w:sz w:val="24"/>
        </w:rPr>
        <w:t xml:space="preserve">、</w:t>
      </w:r>
      <w:r>
        <w:rPr>
          <w:rFonts w:hint="eastAsia" w:ascii="宋体" w:hAnsi="宋体" w:cs="宋体"/>
          <w:sz w:val="24"/>
        </w:rPr>
        <w:t xml:space="preserve">配置工作站用专业电脑：I5或以上CPU，16GB或以上内存，1T及以上硬盘，DVD-ROM，Windows专业版系统，2</w:t>
      </w:r>
      <w:r>
        <w:rPr>
          <w:rFonts w:ascii="宋体" w:hAnsi="宋体" w:cs="宋体"/>
          <w:sz w:val="24"/>
        </w:rPr>
        <w:t xml:space="preserve">7</w:t>
      </w:r>
      <w:r>
        <w:rPr>
          <w:rFonts w:hint="eastAsia" w:ascii="宋体" w:hAnsi="宋体" w:cs="宋体"/>
          <w:sz w:val="24"/>
        </w:rPr>
        <w:t xml:space="preserve">寸或以上显示器。</w:t>
      </w:r>
      <w:r/>
    </w:p>
    <w:p>
      <w:pPr>
        <w:ind w:firstLine="480"/>
        <w:spacing w:line="360" w:lineRule="auto"/>
        <w:rPr>
          <w:sz w:val="24"/>
        </w:rPr>
      </w:pPr>
      <w:r>
        <w:rPr>
          <w:rFonts w:hint="eastAsia"/>
          <w:sz w:val="24"/>
        </w:rPr>
        <w:t xml:space="preserve">2.仪器操作功能：</w:t>
      </w:r>
      <w:r/>
    </w:p>
    <w:p>
      <w:pPr>
        <w:ind w:firstLine="480"/>
        <w:spacing w:line="360" w:lineRule="auto"/>
        <w:rPr>
          <w:sz w:val="24"/>
        </w:rPr>
      </w:pPr>
      <w:r>
        <w:rPr>
          <w:rFonts w:hint="eastAsia"/>
          <w:sz w:val="24"/>
        </w:rPr>
        <w:t xml:space="preserve">测角仪准直，2θ校正，自动PHA校正，衍射轮廓线测量，连续扫描，步进扫描，重复扫描，净强度测量，存储测量条件等。</w:t>
      </w:r>
      <w:r/>
    </w:p>
    <w:p>
      <w:pPr>
        <w:ind w:firstLine="480"/>
        <w:spacing w:line="360" w:lineRule="auto"/>
        <w:rPr>
          <w:sz w:val="24"/>
        </w:rPr>
      </w:pPr>
      <w:r>
        <w:rPr>
          <w:rFonts w:hint="eastAsia"/>
          <w:sz w:val="24"/>
        </w:rPr>
        <w:t xml:space="preserve">3.在线/离线数据处理：</w:t>
      </w:r>
      <w:r/>
    </w:p>
    <w:p>
      <w:pPr>
        <w:ind w:firstLine="480"/>
        <w:spacing w:line="360" w:lineRule="auto"/>
        <w:rPr>
          <w:sz w:val="24"/>
        </w:rPr>
      </w:pPr>
      <w:r>
        <w:rPr>
          <w:rFonts w:hint="eastAsia"/>
          <w:sz w:val="24"/>
        </w:rPr>
        <w:t xml:space="preserve">衍射样本的编辑、显示和绘图，峰搜索，峰面积测定和单峰分析，背景扣除，平滑，去除衍射线，加/减谱，报告和数据输出等。</w:t>
      </w:r>
      <w:r/>
    </w:p>
    <w:p>
      <w:pPr>
        <w:ind w:firstLine="480"/>
        <w:spacing w:line="360" w:lineRule="auto"/>
        <w:rPr>
          <w:sz w:val="24"/>
        </w:rPr>
      </w:pPr>
      <w:r>
        <w:rPr>
          <w:rFonts w:hint="eastAsia"/>
          <w:sz w:val="24"/>
        </w:rPr>
        <w:t xml:space="preserve">4. 定性分析和定量分析：</w:t>
      </w:r>
      <w:r/>
    </w:p>
    <w:p>
      <w:pPr>
        <w:ind w:firstLine="480"/>
        <w:spacing w:line="360" w:lineRule="auto"/>
        <w:rPr>
          <w:sz w:val="24"/>
        </w:rPr>
      </w:pPr>
      <w:r>
        <w:rPr>
          <w:rFonts w:hint="eastAsia"/>
          <w:sz w:val="24"/>
        </w:rPr>
        <w:t xml:space="preserve">提供数据库和自动搜索功能，无标样定量计算、工作曲线法定量计算等。</w:t>
      </w:r>
      <w:r/>
    </w:p>
    <w:p>
      <w:pPr>
        <w:ind w:firstLine="482"/>
        <w:spacing w:line="360" w:lineRule="auto"/>
        <w:rPr>
          <w:b/>
          <w:bCs/>
          <w:sz w:val="24"/>
        </w:rPr>
      </w:pPr>
      <w:r>
        <w:rPr>
          <w:rFonts w:hint="eastAsia"/>
          <w:b/>
          <w:bCs/>
          <w:sz w:val="24"/>
        </w:rPr>
        <w:t xml:space="preserve">（六）外部冷却水系统</w:t>
      </w:r>
      <w:r/>
    </w:p>
    <w:p>
      <w:pPr>
        <w:ind w:firstLine="480"/>
        <w:spacing w:line="360" w:lineRule="auto"/>
        <w:rPr>
          <w:sz w:val="24"/>
        </w:rPr>
      </w:pPr>
      <w:r>
        <w:rPr>
          <w:rFonts w:hint="eastAsia"/>
          <w:sz w:val="24"/>
        </w:rPr>
        <w:t xml:space="preserve">满足3kW仪器满功率运行</w:t>
      </w:r>
      <w:r/>
    </w:p>
    <w:p>
      <w:pPr>
        <w:ind w:firstLine="482"/>
        <w:spacing w:line="360" w:lineRule="auto"/>
        <w:rPr>
          <w:b/>
          <w:bCs/>
          <w:sz w:val="24"/>
        </w:rPr>
      </w:pPr>
      <w:r>
        <w:rPr>
          <w:rFonts w:hint="eastAsia"/>
          <w:b/>
          <w:bCs/>
          <w:sz w:val="24"/>
        </w:rPr>
        <w:t xml:space="preserve">（七）配置要求</w:t>
      </w:r>
      <w:r/>
    </w:p>
    <w:p>
      <w:pPr>
        <w:ind w:firstLine="480"/>
        <w:spacing w:line="360" w:lineRule="auto"/>
        <w:rPr>
          <w:sz w:val="24"/>
        </w:rPr>
      </w:pPr>
      <w:r>
        <w:rPr>
          <w:rFonts w:hint="eastAsia"/>
          <w:sz w:val="24"/>
        </w:rPr>
        <w:t xml:space="preserve">落地式X射线衍射仪一台，包括以下组成部分：</w:t>
      </w:r>
      <w:r/>
    </w:p>
    <w:p>
      <w:pPr>
        <w:ind w:firstLine="480"/>
        <w:spacing w:line="360" w:lineRule="auto"/>
        <w:rPr>
          <w:sz w:val="24"/>
        </w:rPr>
      </w:pPr>
      <w:r>
        <w:rPr>
          <w:rFonts w:hint="eastAsia"/>
          <w:sz w:val="24"/>
        </w:rPr>
        <w:t xml:space="preserve">1.X射线发生器</w:t>
      </w:r>
      <w:r/>
    </w:p>
    <w:p>
      <w:pPr>
        <w:ind w:firstLine="480"/>
        <w:spacing w:line="360" w:lineRule="auto"/>
        <w:rPr>
          <w:sz w:val="24"/>
        </w:rPr>
      </w:pPr>
      <w:r>
        <w:rPr>
          <w:rFonts w:hint="eastAsia"/>
          <w:sz w:val="24"/>
        </w:rPr>
        <w:t xml:space="preserve">2.X-射线光管</w:t>
      </w:r>
      <w:r/>
    </w:p>
    <w:p>
      <w:pPr>
        <w:ind w:firstLine="480"/>
        <w:spacing w:line="360" w:lineRule="auto"/>
        <w:rPr>
          <w:sz w:val="24"/>
        </w:rPr>
      </w:pPr>
      <w:r>
        <w:rPr>
          <w:rFonts w:hint="eastAsia"/>
          <w:sz w:val="24"/>
        </w:rPr>
        <w:t xml:space="preserve">3.垂直式θ-θ型测角仪</w:t>
      </w:r>
      <w:r/>
    </w:p>
    <w:p>
      <w:pPr>
        <w:ind w:firstLine="480"/>
        <w:spacing w:line="360" w:lineRule="auto"/>
        <w:rPr>
          <w:sz w:val="24"/>
        </w:rPr>
      </w:pPr>
      <w:r>
        <w:rPr>
          <w:rFonts w:hint="eastAsia"/>
          <w:sz w:val="24"/>
        </w:rPr>
        <w:t xml:space="preserve">4.阵列探测器</w:t>
      </w:r>
      <w:r/>
    </w:p>
    <w:p>
      <w:pPr>
        <w:ind w:firstLine="480"/>
        <w:spacing w:line="360" w:lineRule="auto"/>
        <w:rPr>
          <w:sz w:val="24"/>
        </w:rPr>
      </w:pPr>
      <w:r>
        <w:rPr>
          <w:rFonts w:hint="eastAsia"/>
          <w:sz w:val="24"/>
        </w:rPr>
        <w:t xml:space="preserve">5.仪器控制软件</w:t>
      </w:r>
      <w:r/>
    </w:p>
    <w:p>
      <w:pPr>
        <w:ind w:firstLine="480"/>
        <w:spacing w:line="360" w:lineRule="auto"/>
        <w:rPr>
          <w:sz w:val="24"/>
        </w:rPr>
      </w:pPr>
      <w:r>
        <w:rPr>
          <w:rFonts w:hint="eastAsia"/>
          <w:sz w:val="24"/>
        </w:rPr>
        <w:t xml:space="preserve">6.数据处理软件</w:t>
      </w:r>
      <w:r/>
    </w:p>
    <w:p>
      <w:pPr>
        <w:ind w:firstLine="480"/>
        <w:spacing w:line="360" w:lineRule="auto"/>
        <w:rPr>
          <w:sz w:val="24"/>
        </w:rPr>
      </w:pPr>
      <w:r>
        <w:rPr>
          <w:rFonts w:hint="eastAsia"/>
          <w:sz w:val="24"/>
        </w:rPr>
        <w:t xml:space="preserve">7.循环冷却水装置</w:t>
      </w:r>
      <w:r/>
    </w:p>
    <w:p>
      <w:pPr>
        <w:ind w:firstLine="480"/>
        <w:spacing w:line="360" w:lineRule="auto"/>
        <w:rPr>
          <w:sz w:val="24"/>
        </w:rPr>
      </w:pPr>
      <w:r>
        <w:rPr>
          <w:rFonts w:hint="eastAsia"/>
          <w:sz w:val="24"/>
        </w:rPr>
        <w:t xml:space="preserve">8.通孔样品板</w:t>
      </w:r>
      <w:r/>
    </w:p>
    <w:p>
      <w:pPr>
        <w:ind w:firstLine="480"/>
        <w:spacing w:line="360" w:lineRule="auto"/>
        <w:rPr>
          <w:sz w:val="24"/>
        </w:rPr>
      </w:pPr>
      <w:r>
        <w:rPr>
          <w:rFonts w:hint="eastAsia"/>
          <w:sz w:val="24"/>
        </w:rPr>
        <w:t xml:space="preserve">9.盲孔样品板</w:t>
      </w:r>
      <w:r/>
    </w:p>
    <w:p>
      <w:pPr>
        <w:ind w:firstLine="480"/>
        <w:spacing w:line="360" w:lineRule="auto"/>
        <w:rPr>
          <w:sz w:val="24"/>
        </w:rPr>
      </w:pPr>
      <w:r>
        <w:rPr>
          <w:rFonts w:hint="eastAsia"/>
          <w:sz w:val="24"/>
        </w:rPr>
        <w:t xml:space="preserve">10.微量样品板</w:t>
      </w:r>
      <w:r/>
    </w:p>
    <w:p>
      <w:pPr>
        <w:ind w:firstLine="480"/>
        <w:spacing w:line="360" w:lineRule="auto"/>
        <w:rPr>
          <w:sz w:val="24"/>
        </w:rPr>
      </w:pPr>
      <w:r>
        <w:rPr>
          <w:rFonts w:hint="eastAsia"/>
          <w:sz w:val="24"/>
        </w:rPr>
        <w:t xml:space="preserve">11.旋转样品台（用于消除样品表面光折射导致的实验误差）</w:t>
      </w:r>
      <w:r/>
    </w:p>
    <w:p>
      <w:pPr>
        <w:ind w:firstLine="480"/>
        <w:spacing w:line="360" w:lineRule="auto"/>
        <w:rPr>
          <w:sz w:val="24"/>
        </w:rPr>
      </w:pPr>
      <w:r>
        <w:rPr>
          <w:rFonts w:hint="eastAsia"/>
          <w:sz w:val="24"/>
        </w:rPr>
        <w:t xml:space="preserve">12. </w:t>
      </w:r>
      <w:r>
        <w:rPr>
          <w:sz w:val="24"/>
        </w:rPr>
        <w:t xml:space="preserve"> </w:t>
      </w:r>
      <w:r>
        <w:rPr>
          <w:rFonts w:hint="eastAsia"/>
          <w:sz w:val="24"/>
        </w:rPr>
        <w:t xml:space="preserve">6位自动样品台（用于多批次样品分析）</w:t>
      </w:r>
      <w:r/>
    </w:p>
    <w:p>
      <w:pPr>
        <w:pStyle w:val="899"/>
        <w:ind w:firstLine="480"/>
        <w:spacing w:line="360" w:lineRule="auto"/>
        <w:rPr>
          <w:rFonts w:ascii="Times New Roman" w:hAnsi="Times New Roman"/>
          <w:sz w:val="24"/>
        </w:rPr>
      </w:pPr>
      <w:r>
        <w:rPr>
          <w:rFonts w:hint="cs" w:ascii="Times New Roman" w:hAnsi="Times New Roman"/>
          <w:sz w:val="24"/>
        </w:rPr>
        <w:t xml:space="preserve">13</w:t>
      </w:r>
      <w:r>
        <w:rPr>
          <w:rFonts w:ascii="Times New Roman" w:hAnsi="Times New Roman"/>
          <w:sz w:val="24"/>
        </w:rPr>
        <w:t xml:space="preserve">.</w:t>
      </w:r>
      <w:r>
        <w:rPr>
          <w:rFonts w:hint="eastAsia" w:ascii="Times New Roman" w:hAnsi="Times New Roman"/>
          <w:sz w:val="24"/>
        </w:rPr>
        <w:t xml:space="preserve">配套</w:t>
      </w:r>
      <w:r>
        <w:rPr>
          <w:rFonts w:ascii="Times New Roman" w:hAnsi="Times New Roman"/>
          <w:sz w:val="24"/>
        </w:rPr>
        <w:t xml:space="preserve">电脑及打印机各</w:t>
      </w:r>
      <w:r>
        <w:rPr>
          <w:rFonts w:hint="eastAsia" w:ascii="Times New Roman" w:hAnsi="Times New Roman"/>
          <w:sz w:val="24"/>
        </w:rPr>
        <w:t xml:space="preserve">1套</w:t>
      </w:r>
      <w:r/>
    </w:p>
    <w:p>
      <w:pPr>
        <w:ind w:firstLine="482"/>
        <w:jc w:val="left"/>
        <w:spacing w:line="360" w:lineRule="auto"/>
        <w:rPr>
          <w:b/>
          <w:sz w:val="24"/>
        </w:rPr>
      </w:pPr>
      <w:r>
        <w:rPr>
          <w:rFonts w:hint="eastAsia"/>
          <w:b/>
          <w:sz w:val="24"/>
        </w:rPr>
        <w:t xml:space="preserve">四、售后</w:t>
      </w:r>
      <w:r>
        <w:rPr>
          <w:b/>
          <w:sz w:val="24"/>
        </w:rPr>
        <w:t xml:space="preserve">服务</w:t>
      </w:r>
      <w:r/>
    </w:p>
    <w:p>
      <w:pPr>
        <w:contextualSpacing/>
        <w:ind w:firstLine="480"/>
        <w:jc w:val="left"/>
        <w:spacing w:line="360" w:lineRule="auto"/>
        <w:rPr>
          <w:rFonts w:ascii="宋体" w:hAnsi="宋体" w:cs="宋体"/>
          <w:sz w:val="24"/>
        </w:rPr>
      </w:pPr>
      <w:r>
        <w:rPr>
          <w:rFonts w:hint="eastAsia" w:ascii="宋体" w:hAnsi="宋体" w:cs="宋体"/>
          <w:sz w:val="24"/>
        </w:rPr>
        <w:t xml:space="preserve">1.供应商免费提供采购人现场安装、调试及培训。安装工程师在采购人现场安装调试完毕后，进行现场讲解培训，人员不限。免费提供仪器使用手册、培训教材、应用文章等。保证用户掌握基本操作，可以正确操作使用仪器。</w:t>
      </w:r>
      <w:r/>
    </w:p>
    <w:p>
      <w:pPr>
        <w:contextualSpacing/>
        <w:ind w:firstLine="480"/>
        <w:jc w:val="left"/>
        <w:spacing w:line="360" w:lineRule="auto"/>
        <w:rPr>
          <w:rFonts w:ascii="宋体" w:hAnsi="宋体" w:cs="宋体"/>
          <w:sz w:val="24"/>
        </w:rPr>
      </w:pPr>
      <w:r>
        <w:rPr>
          <w:rFonts w:hint="eastAsia" w:ascii="宋体" w:hAnsi="宋体" w:cs="宋体"/>
          <w:sz w:val="24"/>
        </w:rPr>
        <w:t xml:space="preserve">2.整机1年保修。</w:t>
      </w:r>
      <w:r/>
    </w:p>
    <w:p>
      <w:pPr>
        <w:contextualSpacing/>
        <w:ind w:firstLine="480"/>
        <w:jc w:val="left"/>
        <w:spacing w:line="360" w:lineRule="auto"/>
        <w:rPr>
          <w:sz w:val="24"/>
        </w:rPr>
      </w:pPr>
      <w:r>
        <w:rPr>
          <w:rFonts w:hint="eastAsia" w:ascii="宋体" w:hAnsi="宋体" w:cs="宋体"/>
          <w:sz w:val="24"/>
        </w:rPr>
        <w:t xml:space="preserve">3.供应商提供免费专业培训名额2名，包括仪器的基本原理、操作、日常维护及基础分析仪器理论课程，并提供上机培训。</w:t>
      </w:r>
      <w:r/>
    </w:p>
    <w:p>
      <w:pPr>
        <w:ind w:firstLine="482"/>
        <w:spacing w:line="360" w:lineRule="auto"/>
        <w:rPr>
          <w:rFonts w:ascii="宋体" w:hAnsi="宋体" w:cs="宋体"/>
          <w:b/>
          <w:bCs/>
          <w:sz w:val="24"/>
        </w:rPr>
        <w:outlineLvl w:val="2"/>
      </w:pPr>
      <w:r>
        <w:rPr>
          <w:rFonts w:hint="eastAsia" w:ascii="宋体" w:hAnsi="宋体" w:cs="宋体"/>
          <w:b/>
          <w:bCs/>
          <w:sz w:val="24"/>
        </w:rPr>
        <w:t xml:space="preserve">五、供货验收标准</w:t>
      </w:r>
      <w:r/>
    </w:p>
    <w:p>
      <w:pPr>
        <w:ind w:firstLine="480"/>
        <w:spacing w:line="360" w:lineRule="auto"/>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 xml:space="preserve">  </w:t>
      </w:r>
      <w:r>
        <w:rPr>
          <w:rFonts w:ascii="宋体" w:hAnsi="宋体" w:cs="宋体"/>
          <w:sz w:val="24"/>
          <w:u w:val="single"/>
        </w:rPr>
        <w:t xml:space="preserve">90 </w:t>
      </w:r>
      <w:r>
        <w:rPr>
          <w:rFonts w:hint="eastAsia" w:ascii="宋体" w:hAnsi="宋体" w:cs="宋体"/>
          <w:sz w:val="24"/>
          <w:u w:val="single"/>
        </w:rPr>
        <w:t xml:space="preserve"> </w:t>
      </w:r>
      <w:r>
        <w:rPr>
          <w:rFonts w:hint="eastAsia" w:ascii="宋体" w:hAnsi="宋体" w:cs="宋体"/>
          <w:sz w:val="24"/>
        </w:rPr>
        <w:t xml:space="preserve">天内完成合同范围内所有设备的供货、安装调试完成。</w:t>
      </w:r>
      <w:r/>
    </w:p>
    <w:p>
      <w:pPr>
        <w:ind w:firstLine="480"/>
        <w:spacing w:line="360" w:lineRule="auto"/>
        <w:rPr>
          <w:rFonts w:ascii="宋体" w:hAnsi="宋体" w:cs="宋体"/>
          <w:sz w:val="24"/>
        </w:rPr>
      </w:pPr>
      <w:r>
        <w:rPr>
          <w:rFonts w:hint="eastAsia" w:ascii="宋体" w:hAnsi="宋体" w:cs="宋体"/>
          <w:sz w:val="24"/>
        </w:rPr>
        <w:t xml:space="preserve">2、产品到达交货地点后，采购人和成交供应商在2日内共同检验产品数量、质量等状况，由成交供应商负责并承担相关费用，采购人应积极配合。</w:t>
      </w:r>
      <w:r>
        <w:rPr>
          <w:rFonts w:hint="eastAsia" w:ascii="宋体" w:hAnsi="宋体" w:cs="宋体"/>
          <w:sz w:val="24"/>
          <w:highlight w:val="none"/>
        </w:rPr>
        <w:t xml:space="preserve">产品安装调试完成后，应达到投标文件和技术文件（仪器说明书等）要求的性能，如果现场安装测试指标未通过，采购人有权要求退货并要求赔偿损失。</w:t>
      </w:r>
      <w:r/>
    </w:p>
    <w:p>
      <w:pPr>
        <w:ind w:firstLine="480"/>
        <w:spacing w:line="360" w:lineRule="auto"/>
        <w:rPr>
          <w:rFonts w:ascii="宋体" w:hAnsi="宋体" w:cs="宋体"/>
          <w:sz w:val="24"/>
        </w:rPr>
      </w:pPr>
      <w:r>
        <w:rPr>
          <w:rFonts w:hint="eastAsia" w:ascii="宋体" w:hAnsi="宋体" w:cs="宋体"/>
          <w:sz w:val="24"/>
        </w:rPr>
        <w:t xml:space="preserve">3、对产品的外观或质量问题，采购人应在发现和应当发现之日起30日内向成交供应商提出书面异议，成交供应商在接到书面异议后，应当在2日内负责处理。采购人逾期提出的，对所交产品视为符合合同的规定。</w:t>
      </w:r>
      <w:r/>
    </w:p>
    <w:p>
      <w:pPr>
        <w:ind w:firstLine="480"/>
        <w:spacing w:line="360" w:lineRule="auto"/>
        <w:rPr>
          <w:rFonts w:ascii="宋体" w:hAnsi="宋体" w:cs="宋体"/>
          <w:sz w:val="24"/>
        </w:rPr>
      </w:pPr>
      <w:r>
        <w:rPr>
          <w:rFonts w:hint="eastAsia" w:ascii="宋体" w:hAnsi="宋体" w:cs="宋体"/>
          <w:sz w:val="24"/>
        </w:rPr>
        <w:t xml:space="preserve">4.经双方共同验收，产品性能参数达不到采购合同要求的，采购人可以拒收，并可以解除合同。</w:t>
      </w:r>
      <w:r/>
    </w:p>
    <w:p>
      <w:pPr>
        <w:ind w:firstLine="482"/>
        <w:spacing w:line="360" w:lineRule="auto"/>
        <w:rPr>
          <w:rFonts w:ascii="宋体" w:hAnsi="宋体" w:cs="宋体"/>
          <w:b/>
          <w:bCs/>
          <w:sz w:val="24"/>
        </w:rPr>
        <w:outlineLvl w:val="2"/>
      </w:pPr>
      <w:r>
        <w:rPr>
          <w:rFonts w:hint="eastAsia" w:ascii="宋体" w:hAnsi="宋体" w:cs="宋体"/>
          <w:b/>
          <w:bCs/>
          <w:sz w:val="24"/>
        </w:rPr>
        <w:t xml:space="preserve">六、包装和运输</w:t>
      </w:r>
      <w:r/>
    </w:p>
    <w:p>
      <w:pPr>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p>
    <w:p>
      <w:pPr>
        <w:ind w:firstLine="482"/>
        <w:spacing w:line="360" w:lineRule="auto"/>
        <w:rPr>
          <w:rFonts w:ascii="宋体" w:hAnsi="宋体" w:cs="宋体"/>
          <w:b/>
          <w:bCs/>
          <w:sz w:val="24"/>
        </w:rPr>
        <w:outlineLvl w:val="2"/>
      </w:pPr>
      <w:r>
        <w:rPr>
          <w:rFonts w:hint="eastAsia" w:ascii="宋体" w:hAnsi="宋体" w:cs="宋体"/>
          <w:b/>
          <w:bCs/>
          <w:sz w:val="24"/>
        </w:rPr>
        <w:t xml:space="preserve">七、付款条件</w:t>
      </w:r>
      <w:r/>
    </w:p>
    <w:p>
      <w:pPr>
        <w:ind w:firstLine="480"/>
        <w:spacing w:line="360" w:lineRule="auto"/>
        <w:rPr>
          <w:rFonts w:ascii="宋体" w:hAnsi="宋体" w:cs="宋体"/>
          <w:b/>
          <w:sz w:val="36"/>
          <w:szCs w:val="36"/>
        </w:rPr>
      </w:pPr>
      <w:r>
        <w:rPr>
          <w:rFonts w:hint="eastAsia" w:ascii="宋体" w:hAnsi="宋体" w:cs="宋体"/>
          <w:bCs/>
          <w:sz w:val="24"/>
        </w:rPr>
        <w:t xml:space="preserve">签订合同后支付合同总金额的</w:t>
      </w:r>
      <w:r>
        <w:rPr>
          <w:rFonts w:ascii="宋体" w:hAnsi="宋体" w:cs="宋体"/>
          <w:bCs/>
          <w:sz w:val="24"/>
        </w:rPr>
        <w:t xml:space="preserve">6</w:t>
      </w:r>
      <w:r>
        <w:rPr>
          <w:rFonts w:hint="eastAsia" w:ascii="宋体" w:hAnsi="宋体" w:cs="宋体"/>
          <w:bCs/>
          <w:sz w:val="24"/>
        </w:rPr>
        <w:t xml:space="preserve">5%作为预付款，设备安装调试完毕并经采购人验收合格后付至合同总金额的90%，如</w:t>
      </w:r>
      <w:r>
        <w:rPr>
          <w:rFonts w:ascii="宋体" w:hAnsi="宋体" w:cs="宋体"/>
          <w:bCs/>
          <w:sz w:val="24"/>
        </w:rPr>
        <w:t xml:space="preserve">无质量问题</w:t>
      </w:r>
      <w:r>
        <w:rPr>
          <w:rFonts w:hint="eastAsia" w:ascii="宋体" w:hAnsi="宋体" w:cs="宋体"/>
          <w:bCs/>
          <w:sz w:val="24"/>
        </w:rPr>
        <w:t xml:space="preserve">剩余款项1年后付清。</w:t>
      </w:r>
      <w:r>
        <w:rPr>
          <w:rFonts w:hint="eastAsia" w:ascii="宋体" w:hAnsi="宋体" w:cs="宋体"/>
          <w:b/>
          <w:sz w:val="36"/>
          <w:szCs w:val="36"/>
        </w:rPr>
        <w:br w:type="page" w:clear="all"/>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jc w:val="left"/>
        <w:spacing w:line="360" w:lineRule="auto"/>
        <w:rPr>
          <w:rFonts w:ascii="宋体" w:hAnsi="宋体" w:cs="宋体"/>
          <w:sz w:val="24"/>
        </w:rPr>
        <w:outlineLvl w:val="0"/>
      </w:pPr>
      <w:r>
        <w:rPr>
          <w:rFonts w:hint="eastAsia" w:ascii="宋体" w:hAnsi="宋体" w:cs="宋体"/>
          <w:sz w:val="24"/>
        </w:rPr>
        <w:t xml:space="preserve">合同编号：</w:t>
      </w:r>
      <w:r/>
    </w:p>
    <w:p>
      <w:pPr>
        <w:jc w:val="left"/>
        <w:spacing w:line="360" w:lineRule="auto"/>
        <w:rPr>
          <w:rFonts w:ascii="宋体" w:hAnsi="宋体" w:cs="宋体"/>
          <w:sz w:val="24"/>
        </w:rPr>
        <w:outlineLvl w:val="0"/>
      </w:pPr>
      <w:r>
        <w:rPr>
          <w:rFonts w:hint="eastAsia" w:ascii="宋体" w:hAnsi="宋体" w:cs="宋体"/>
          <w:sz w:val="24"/>
        </w:rPr>
        <w:t xml:space="preserve">签订地点： </w:t>
      </w:r>
      <w:r/>
    </w:p>
    <w:p>
      <w:pPr>
        <w:jc w:val="left"/>
        <w:spacing w:line="360" w:lineRule="auto"/>
        <w:rPr>
          <w:rFonts w:ascii="宋体" w:hAnsi="宋体" w:cs="宋体"/>
          <w:sz w:val="24"/>
          <w:u w:val="single"/>
        </w:rPr>
        <w:outlineLvl w:val="0"/>
      </w:pPr>
      <w:r>
        <w:rPr>
          <w:rFonts w:hint="eastAsia" w:ascii="宋体" w:hAnsi="宋体" w:cs="宋体"/>
          <w:sz w:val="24"/>
        </w:rPr>
        <w:t xml:space="preserve">合同时间: </w:t>
      </w:r>
      <w:r/>
    </w:p>
    <w:p>
      <w:pPr>
        <w:pStyle w:val="912"/>
        <w:spacing w:line="360" w:lineRule="auto"/>
        <w:rPr>
          <w:rFonts w:hint="default"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p>
    <w:p>
      <w:pPr>
        <w:pStyle w:val="912"/>
        <w:spacing w:line="360" w:lineRule="auto"/>
        <w:rPr>
          <w:rFonts w:hint="default" w:hAnsi="宋体" w:cs="宋体"/>
          <w:sz w:val="24"/>
          <w:szCs w:val="24"/>
          <w:u w:val="single"/>
        </w:rPr>
      </w:pPr>
      <w:r>
        <w:rPr>
          <w:rFonts w:hAnsi="宋体" w:cs="宋体"/>
          <w:b/>
          <w:sz w:val="24"/>
          <w:szCs w:val="24"/>
        </w:rPr>
        <w:t xml:space="preserve">中标人（</w:t>
      </w:r>
      <w:r>
        <w:rPr>
          <w:rFonts w:hAnsi="宋体" w:cs="宋体"/>
          <w:b/>
          <w:sz w:val="24"/>
          <w:szCs w:val="24"/>
          <w:lang w:val="zh-CN"/>
        </w:rPr>
        <w:t xml:space="preserve">以下称</w:t>
      </w:r>
      <w:r>
        <w:rPr>
          <w:rFonts w:hAnsi="宋体" w:cs="宋体"/>
          <w:b/>
          <w:sz w:val="24"/>
          <w:szCs w:val="24"/>
        </w:rPr>
        <w:t xml:space="preserve">乙方）:  </w:t>
      </w:r>
      <w:r/>
    </w:p>
    <w:p>
      <w:pPr>
        <w:pStyle w:val="901"/>
        <w:ind w:firstLine="0"/>
        <w:spacing w:line="360" w:lineRule="auto"/>
        <w:tabs>
          <w:tab w:val="left" w:pos="1356" w:leader="none"/>
        </w:tabs>
        <w:rPr>
          <w:rFonts w:hAnsi="宋体" w:cs="宋体"/>
          <w:b/>
        </w:rPr>
      </w:pPr>
      <w:r>
        <w:rPr>
          <w:rFonts w:hAnsi="宋体" w:cs="宋体"/>
          <w:b/>
        </w:rPr>
      </w:r>
      <w:r/>
    </w:p>
    <w:p>
      <w:pPr>
        <w:pStyle w:val="912"/>
        <w:ind w:firstLine="480"/>
        <w:spacing w:line="360" w:lineRule="auto"/>
        <w:rPr>
          <w:rFonts w:hint="default"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12"/>
        <w:ind w:firstLine="482"/>
        <w:spacing w:line="360" w:lineRule="auto"/>
        <w:rPr>
          <w:rFonts w:hint="default" w:hAnsi="宋体" w:cs="宋体"/>
          <w:b/>
          <w:sz w:val="24"/>
          <w:szCs w:val="24"/>
        </w:rPr>
      </w:pPr>
      <w:r>
        <w:rPr>
          <w:rFonts w:hAnsi="宋体" w:cs="宋体"/>
          <w:b/>
          <w:sz w:val="24"/>
          <w:szCs w:val="24"/>
        </w:rPr>
        <w:t xml:space="preserve">第一条 合同标的</w:t>
      </w:r>
      <w:r/>
    </w:p>
    <w:tbl>
      <w:tblPr>
        <w:tblStyle w:val="931"/>
        <w:tblW w:w="46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91"/>
        <w:gridCol w:w="1514"/>
        <w:gridCol w:w="1230"/>
        <w:gridCol w:w="1843"/>
      </w:tblGrid>
      <w:tr>
        <w:trPr>
          <w:trHeight w:val="283"/>
        </w:trPr>
        <w:tc>
          <w:tcPr>
            <w:tcW w:w="2088" w:type="pct"/>
            <w:vAlign w:val="center"/>
            <w:textDirection w:val="lrTb"/>
            <w:noWrap w:val="false"/>
          </w:tcPr>
          <w:p>
            <w:pPr>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设备名称</w:t>
            </w:r>
            <w:r/>
          </w:p>
        </w:tc>
        <w:tc>
          <w:tcPr>
            <w:tcW w:w="960" w:type="pct"/>
            <w:vAlign w:val="center"/>
            <w:textDirection w:val="lrTb"/>
            <w:noWrap w:val="false"/>
          </w:tcPr>
          <w:p>
            <w:pPr>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品牌</w:t>
            </w:r>
            <w:r/>
          </w:p>
        </w:tc>
        <w:tc>
          <w:tcPr>
            <w:tcW w:w="780" w:type="pct"/>
            <w:vAlign w:val="center"/>
            <w:textDirection w:val="lrTb"/>
            <w:noWrap w:val="false"/>
          </w:tcPr>
          <w:p>
            <w:pPr>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规格型号</w:t>
            </w:r>
            <w:r/>
          </w:p>
        </w:tc>
        <w:tc>
          <w:tcPr>
            <w:tcW w:w="1169" w:type="pct"/>
            <w:vAlign w:val="center"/>
            <w:textDirection w:val="lrTb"/>
            <w:noWrap w:val="false"/>
          </w:tcPr>
          <w:p>
            <w:pPr>
              <w:jc w:val="center"/>
              <w:spacing w:line="400" w:lineRule="exact"/>
              <w:tabs>
                <w:tab w:val="left" w:pos="426" w:leader="none"/>
              </w:tabs>
              <w:rPr>
                <w:rFonts w:ascii="宋体" w:hAnsi="宋体" w:cs="宋体"/>
                <w:b/>
                <w:bCs/>
                <w:sz w:val="24"/>
              </w:rPr>
            </w:pPr>
            <w:r>
              <w:rPr>
                <w:rFonts w:hint="eastAsia" w:ascii="宋体" w:hAnsi="宋体" w:cs="宋体"/>
                <w:b/>
                <w:bCs/>
                <w:sz w:val="24"/>
              </w:rPr>
              <w:t xml:space="preserve">数量</w:t>
            </w:r>
            <w:r/>
          </w:p>
        </w:tc>
      </w:tr>
      <w:tr>
        <w:trPr>
          <w:trHeight w:val="283"/>
        </w:trPr>
        <w:tc>
          <w:tcPr>
            <w:shd w:val="clear" w:color="auto" w:fill="auto"/>
            <w:tcW w:w="2088" w:type="pct"/>
            <w:vAlign w:val="center"/>
            <w:textDirection w:val="lrTb"/>
            <w:noWrap w:val="false"/>
          </w:tcPr>
          <w:p>
            <w:pPr>
              <w:jc w:val="center"/>
              <w:spacing w:line="360" w:lineRule="auto"/>
              <w:widowControl/>
              <w:rPr>
                <w:rFonts w:ascii="宋体" w:hAnsi="宋体" w:cs="宋体"/>
                <w:b/>
                <w:bCs/>
                <w:sz w:val="24"/>
              </w:rPr>
            </w:pPr>
            <w:r>
              <w:rPr>
                <w:rFonts w:ascii="宋体" w:hAnsi="宋体" w:cs="宋体"/>
                <w:b/>
                <w:bCs/>
                <w:sz w:val="24"/>
              </w:rPr>
            </w:r>
            <w:r/>
          </w:p>
        </w:tc>
        <w:tc>
          <w:tcPr>
            <w:shd w:val="clear" w:color="auto" w:fill="auto"/>
            <w:tcW w:w="960" w:type="pct"/>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W w:w="780" w:type="pct"/>
            <w:vAlign w:val="center"/>
            <w:textDirection w:val="lrTb"/>
            <w:noWrap w:val="false"/>
          </w:tcPr>
          <w:p>
            <w:pPr>
              <w:widowControl/>
              <w:rPr>
                <w:rFonts w:ascii="宋体" w:hAnsi="宋体" w:cs="宋体"/>
                <w:sz w:val="24"/>
              </w:rPr>
            </w:pPr>
            <w:r>
              <w:rPr>
                <w:rFonts w:ascii="宋体" w:hAnsi="宋体" w:cs="宋体"/>
                <w:sz w:val="24"/>
              </w:rPr>
            </w:r>
            <w:r/>
          </w:p>
        </w:tc>
        <w:tc>
          <w:tcPr>
            <w:shd w:val="clear" w:color="auto" w:fill="auto"/>
            <w:tcW w:w="1169" w:type="pct"/>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pStyle w:val="912"/>
        <w:ind w:firstLine="482"/>
        <w:spacing w:line="360" w:lineRule="auto"/>
        <w:rPr>
          <w:rFonts w:hint="default" w:hAnsi="宋体" w:cs="宋体"/>
          <w:b/>
          <w:sz w:val="24"/>
          <w:szCs w:val="24"/>
        </w:rPr>
      </w:pPr>
      <w:r>
        <w:rPr>
          <w:rFonts w:hAnsi="宋体" w:cs="宋体"/>
          <w:b/>
          <w:sz w:val="24"/>
          <w:szCs w:val="24"/>
        </w:rPr>
        <w:t xml:space="preserve">第二条 合同价格</w:t>
      </w:r>
      <w:r/>
    </w:p>
    <w:p>
      <w:pPr>
        <w:pStyle w:val="912"/>
        <w:ind w:firstLine="482"/>
        <w:jc w:val="left"/>
        <w:spacing w:line="360" w:lineRule="auto"/>
        <w:rPr>
          <w:rFonts w:hint="default" w:hAnsi="宋体" w:cs="宋体"/>
          <w:b/>
          <w:sz w:val="24"/>
          <w:szCs w:val="24"/>
        </w:rPr>
      </w:pPr>
      <w:r>
        <w:rPr>
          <w:rFonts w:hAnsi="宋体" w:cs="宋体"/>
          <w:b/>
          <w:sz w:val="24"/>
          <w:szCs w:val="24"/>
        </w:rPr>
        <w:t xml:space="preserve">签约合同总价（人民币，下同）： </w:t>
      </w:r>
      <w:r/>
    </w:p>
    <w:p>
      <w:pPr>
        <w:pStyle w:val="912"/>
        <w:ind w:firstLine="480"/>
        <w:spacing w:line="360" w:lineRule="auto"/>
        <w:rPr>
          <w:rFonts w:hint="default" w:hAnsi="宋体" w:cs="宋体"/>
          <w:sz w:val="24"/>
          <w:szCs w:val="24"/>
        </w:rPr>
      </w:pPr>
      <w:r>
        <w:rPr>
          <w:rFonts w:hAnsi="宋体" w:cs="宋体"/>
          <w:sz w:val="24"/>
          <w:szCs w:val="24"/>
        </w:rPr>
        <w:t xml:space="preserve">本合同总价款是货物设计、制造、包装、仓储、运输装卸、安装、调试、测试、保险及其材料及验收合格之前保管及保修期内备品备件、</w:t>
      </w:r>
      <w:r>
        <w:rPr>
          <w:rFonts w:hAnsi="宋体" w:cs="宋体"/>
          <w:bCs/>
          <w:sz w:val="24"/>
          <w:szCs w:val="24"/>
        </w:rPr>
        <w:t xml:space="preserve">耗材、运送工具、</w:t>
      </w:r>
      <w:r>
        <w:rPr>
          <w:rFonts w:hAnsi="宋体" w:cs="宋体"/>
          <w:sz w:val="24"/>
          <w:szCs w:val="24"/>
        </w:rPr>
        <w:t xml:space="preserve">专用工具、伴随服务、技术图纸资料、人员培训发生的所有含税费用、支付给员工的工资和国家强制缴纳的各种社会保障资金，以及乙方认为需要的其他费用等。</w:t>
      </w:r>
      <w:r/>
    </w:p>
    <w:p>
      <w:pPr>
        <w:pStyle w:val="912"/>
        <w:ind w:firstLine="480"/>
        <w:spacing w:line="360" w:lineRule="auto"/>
        <w:rPr>
          <w:rFonts w:hint="default" w:hAnsi="宋体" w:cs="宋体"/>
          <w:sz w:val="24"/>
          <w:szCs w:val="24"/>
        </w:rPr>
      </w:pPr>
      <w:r>
        <w:rPr>
          <w:rFonts w:hAnsi="宋体" w:cs="宋体"/>
          <w:sz w:val="24"/>
          <w:szCs w:val="24"/>
        </w:rPr>
        <w:t xml:space="preserve">本合同总价款还包含乙方应当提供的伴随服务/售后服务费用。</w:t>
      </w:r>
      <w:r/>
    </w:p>
    <w:p>
      <w:pPr>
        <w:pStyle w:val="912"/>
        <w:ind w:firstLine="482"/>
        <w:spacing w:line="360" w:lineRule="auto"/>
        <w:rPr>
          <w:rFonts w:hint="default" w:hAnsi="宋体" w:cs="宋体"/>
          <w:b/>
          <w:sz w:val="24"/>
          <w:szCs w:val="24"/>
        </w:rPr>
      </w:pPr>
      <w:r>
        <w:rPr>
          <w:rFonts w:hAnsi="宋体" w:cs="宋体"/>
          <w:b/>
          <w:sz w:val="24"/>
          <w:szCs w:val="24"/>
        </w:rPr>
        <w:t xml:space="preserve">第三条 组成本合同的有关文件</w:t>
      </w:r>
      <w:r/>
    </w:p>
    <w:p>
      <w:pPr>
        <w:pStyle w:val="912"/>
        <w:ind w:firstLine="480"/>
        <w:spacing w:line="360" w:lineRule="auto"/>
        <w:rPr>
          <w:rFonts w:hint="default"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12"/>
        <w:ind w:firstLine="480"/>
        <w:spacing w:line="360" w:lineRule="auto"/>
        <w:rPr>
          <w:rFonts w:hint="default" w:hAnsi="宋体" w:cs="宋体"/>
          <w:sz w:val="24"/>
          <w:szCs w:val="24"/>
        </w:rPr>
      </w:pPr>
      <w:r>
        <w:rPr>
          <w:rFonts w:hAnsi="宋体" w:cs="宋体"/>
          <w:sz w:val="24"/>
          <w:szCs w:val="24"/>
        </w:rPr>
        <w:t xml:space="preserve">（1）招标文件（编号：）；</w:t>
      </w:r>
      <w:r/>
    </w:p>
    <w:p>
      <w:pPr>
        <w:pStyle w:val="912"/>
        <w:ind w:firstLine="480"/>
        <w:spacing w:line="360" w:lineRule="auto"/>
        <w:rPr>
          <w:rFonts w:hint="default" w:hAnsi="宋体" w:cs="宋体"/>
          <w:sz w:val="24"/>
          <w:szCs w:val="24"/>
        </w:rPr>
      </w:pPr>
      <w:r>
        <w:rPr>
          <w:rFonts w:hAnsi="宋体" w:cs="宋体"/>
          <w:sz w:val="24"/>
          <w:szCs w:val="24"/>
        </w:rPr>
        <w:t xml:space="preserve">（2）乙方提供的投标文件；</w:t>
      </w:r>
      <w:r/>
    </w:p>
    <w:p>
      <w:pPr>
        <w:pStyle w:val="912"/>
        <w:ind w:firstLine="480"/>
        <w:spacing w:line="360" w:lineRule="auto"/>
        <w:rPr>
          <w:rFonts w:hint="default" w:hAnsi="宋体" w:cs="宋体"/>
          <w:sz w:val="24"/>
          <w:szCs w:val="24"/>
        </w:rPr>
      </w:pPr>
      <w:r>
        <w:rPr>
          <w:rFonts w:hAnsi="宋体" w:cs="宋体"/>
          <w:sz w:val="24"/>
          <w:szCs w:val="24"/>
        </w:rPr>
        <w:t xml:space="preserve">（3）中标通知书；</w:t>
      </w:r>
      <w:r/>
    </w:p>
    <w:p>
      <w:pPr>
        <w:pStyle w:val="912"/>
        <w:ind w:firstLine="480"/>
        <w:spacing w:line="360" w:lineRule="auto"/>
        <w:rPr>
          <w:rFonts w:hint="default" w:hAnsi="宋体" w:cs="宋体"/>
          <w:sz w:val="24"/>
          <w:szCs w:val="24"/>
        </w:rPr>
      </w:pPr>
      <w:r>
        <w:rPr>
          <w:rFonts w:hAnsi="宋体" w:cs="宋体"/>
          <w:sz w:val="24"/>
          <w:szCs w:val="24"/>
        </w:rPr>
        <w:t xml:space="preserve">（4）甲乙双方商定的其他文件等。</w:t>
      </w:r>
      <w:r/>
    </w:p>
    <w:p>
      <w:pPr>
        <w:ind w:firstLine="482"/>
        <w:spacing w:line="360" w:lineRule="auto"/>
        <w:rPr>
          <w:rFonts w:ascii="宋体" w:hAnsi="宋体" w:cs="宋体"/>
          <w:b/>
          <w:sz w:val="24"/>
        </w:rPr>
      </w:pPr>
      <w:r>
        <w:rPr>
          <w:rFonts w:hint="eastAsia" w:ascii="宋体" w:hAnsi="宋体" w:cs="宋体"/>
          <w:b/>
          <w:sz w:val="24"/>
        </w:rPr>
        <w:t xml:space="preserve">第四条 权利保证</w:t>
      </w:r>
      <w:r/>
    </w:p>
    <w:p>
      <w:pPr>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一旦出现侵权、索赔或诉讼，乙方应承担全部责任，同时甲方有权单方解除本合同。</w:t>
      </w:r>
      <w:r/>
    </w:p>
    <w:p>
      <w:pPr>
        <w:ind w:firstLine="482"/>
        <w:spacing w:line="360" w:lineRule="auto"/>
        <w:rPr>
          <w:rFonts w:ascii="宋体" w:hAnsi="宋体" w:cs="宋体"/>
          <w:b/>
          <w:sz w:val="24"/>
        </w:rPr>
      </w:pPr>
      <w:r>
        <w:rPr>
          <w:rFonts w:hint="eastAsia" w:ascii="宋体" w:hAnsi="宋体" w:cs="宋体"/>
          <w:b/>
          <w:sz w:val="24"/>
        </w:rPr>
        <w:t xml:space="preserve">第五条 质量保证</w:t>
      </w:r>
      <w:r/>
    </w:p>
    <w:p>
      <w:pPr>
        <w:ind w:firstLine="480"/>
        <w:spacing w:line="360" w:lineRule="auto"/>
        <w:rPr>
          <w:rFonts w:ascii="宋体" w:hAnsi="宋体" w:cs="宋体"/>
          <w:sz w:val="24"/>
        </w:rPr>
      </w:pPr>
      <w:r>
        <w:rPr>
          <w:rFonts w:hint="eastAsia" w:ascii="宋体" w:hAnsi="宋体" w:cs="宋体"/>
          <w:sz w:val="24"/>
        </w:rPr>
        <w:t xml:space="preserve">1.乙方所提供的货物的技术规格应与招标文件规定的技术规格及所附的“技术规格响应表”相一致；若技术性能无特殊说明，则按国家有关部门最新颁布的标准及规范为准。</w:t>
      </w:r>
      <w:r/>
    </w:p>
    <w:p>
      <w:pPr>
        <w:pStyle w:val="912"/>
        <w:ind w:firstLine="480"/>
        <w:spacing w:line="360" w:lineRule="auto"/>
        <w:rPr>
          <w:rFonts w:hint="default" w:hAnsi="宋体" w:cs="宋体"/>
          <w:sz w:val="24"/>
          <w:szCs w:val="24"/>
        </w:rPr>
      </w:pPr>
      <w:r>
        <w:rPr>
          <w:rFonts w:hAnsi="宋体" w:cs="宋体"/>
          <w:sz w:val="24"/>
          <w:szCs w:val="24"/>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p>
    <w:p>
      <w:pPr>
        <w:ind w:firstLine="482"/>
        <w:spacing w:line="360" w:lineRule="auto"/>
        <w:rPr>
          <w:rFonts w:ascii="宋体" w:hAnsi="宋体" w:cs="宋体"/>
          <w:b/>
          <w:sz w:val="24"/>
        </w:rPr>
      </w:pPr>
      <w:r>
        <w:rPr>
          <w:rFonts w:hint="eastAsia" w:ascii="宋体" w:hAnsi="宋体" w:cs="宋体"/>
          <w:b/>
          <w:sz w:val="24"/>
        </w:rPr>
        <w:t xml:space="preserve">第六条 包装要求</w:t>
      </w:r>
      <w:r/>
    </w:p>
    <w:p>
      <w:pPr>
        <w:ind w:firstLine="480"/>
        <w:spacing w:line="360" w:lineRule="auto"/>
        <w:rPr>
          <w:rFonts w:ascii="宋体" w:hAnsi="宋体" w:cs="宋体"/>
          <w:sz w:val="24"/>
        </w:rPr>
      </w:pPr>
      <w:r>
        <w:rPr>
          <w:rFonts w:hint="eastAsia" w:ascii="宋体" w:hAnsi="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ascii="宋体" w:hAnsi="宋体" w:cs="宋体"/>
          <w:sz w:val="24"/>
        </w:rPr>
      </w:pPr>
      <w:r>
        <w:rPr>
          <w:rFonts w:hint="eastAsia" w:ascii="宋体" w:hAnsi="宋体" w:cs="宋体"/>
          <w:sz w:val="24"/>
        </w:rPr>
        <w:t xml:space="preserve">2.每一包装单元内应附详细的装箱单和质量合格凭证。</w:t>
      </w:r>
      <w:r/>
    </w:p>
    <w:p>
      <w:pPr>
        <w:ind w:firstLine="480"/>
        <w:spacing w:line="360" w:lineRule="auto"/>
        <w:rPr>
          <w:rFonts w:ascii="宋体" w:hAnsi="宋体" w:cs="宋体"/>
          <w:sz w:val="24"/>
        </w:rPr>
      </w:pPr>
      <w:r>
        <w:rPr>
          <w:rFonts w:hint="eastAsia" w:ascii="宋体" w:hAnsi="宋体" w:cs="宋体"/>
          <w:sz w:val="24"/>
        </w:rPr>
        <w:t xml:space="preserve">3.乙方保证货物不存在危及人身及财产安全的产品缺陷，否则应承担全部法律责任。</w:t>
      </w:r>
      <w:r/>
    </w:p>
    <w:p>
      <w:pPr>
        <w:ind w:firstLine="482"/>
        <w:spacing w:line="360" w:lineRule="auto"/>
        <w:rPr>
          <w:rFonts w:ascii="宋体" w:hAnsi="宋体" w:cs="宋体"/>
          <w:b/>
          <w:sz w:val="24"/>
        </w:rPr>
      </w:pPr>
      <w:r>
        <w:rPr>
          <w:rFonts w:hint="eastAsia" w:ascii="宋体" w:hAnsi="宋体" w:cs="宋体"/>
          <w:b/>
          <w:sz w:val="24"/>
        </w:rPr>
        <w:t xml:space="preserve">第七条 交货和验收</w:t>
      </w:r>
      <w:r/>
    </w:p>
    <w:p>
      <w:pPr>
        <w:ind w:firstLine="480"/>
        <w:spacing w:line="360" w:lineRule="auto"/>
        <w:rPr>
          <w:rFonts w:ascii="宋体" w:hAnsi="宋体" w:cs="宋体"/>
          <w:sz w:val="24"/>
        </w:rPr>
      </w:pPr>
      <w:r>
        <w:rPr>
          <w:rFonts w:hint="eastAsia" w:ascii="宋体" w:hAnsi="宋体" w:cs="宋体"/>
          <w:sz w:val="24"/>
        </w:rPr>
        <w:t xml:space="preserve">1.乙方应当在合同签订后</w:t>
      </w:r>
      <w:r>
        <w:rPr>
          <w:rFonts w:hint="eastAsia" w:ascii="宋体" w:hAnsi="宋体" w:cs="宋体"/>
          <w:sz w:val="24"/>
          <w:u w:val="single"/>
        </w:rPr>
        <w:t xml:space="preserve">    </w:t>
      </w:r>
      <w:r>
        <w:rPr>
          <w:rFonts w:hint="eastAsia" w:ascii="宋体" w:hAnsi="宋体" w:cs="宋体"/>
          <w:sz w:val="24"/>
        </w:rPr>
        <w:t xml:space="preserve">天内将货物交付甲方正常使用，交货地点由甲方指定。招标文件有约定的，从其约定。</w:t>
      </w:r>
      <w:r/>
    </w:p>
    <w:p>
      <w:pPr>
        <w:ind w:firstLine="480"/>
        <w:spacing w:line="360" w:lineRule="auto"/>
        <w:rPr>
          <w:rFonts w:ascii="宋体" w:hAnsi="宋体" w:cs="宋体"/>
          <w:sz w:val="24"/>
        </w:rPr>
      </w:pPr>
      <w:r>
        <w:rPr>
          <w:rFonts w:hint="eastAsia" w:ascii="宋体" w:hAnsi="宋体" w:cs="宋体"/>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80"/>
        <w:spacing w:line="360" w:lineRule="auto"/>
        <w:rPr>
          <w:rFonts w:ascii="宋体" w:hAnsi="宋体" w:cs="宋体"/>
          <w:sz w:val="24"/>
        </w:rPr>
      </w:pPr>
      <w:r>
        <w:rPr>
          <w:rFonts w:hint="eastAsia" w:ascii="宋体" w:hAnsi="宋体" w:cs="宋体"/>
          <w:sz w:val="24"/>
        </w:rPr>
        <w:t xml:space="preserve">3.货物的到货验收包括：生产厂家名称、品牌、型号、规格、数量、外观质量、配置及货物包装是否完好。</w:t>
      </w:r>
      <w:r/>
    </w:p>
    <w:p>
      <w:pPr>
        <w:ind w:firstLine="480"/>
        <w:spacing w:line="360" w:lineRule="auto"/>
        <w:rPr>
          <w:rFonts w:ascii="宋体" w:hAnsi="宋体" w:cs="宋体"/>
          <w:sz w:val="24"/>
        </w:rPr>
      </w:pPr>
      <w:r>
        <w:rPr>
          <w:rFonts w:hint="eastAsia" w:ascii="宋体" w:hAnsi="宋体" w:cs="宋体"/>
          <w:sz w:val="24"/>
        </w:rPr>
        <w:t xml:space="preserve">4.乙方应将所提供货物的全套完整的技术资料，包括用户手册、随机资料及配件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ascii="宋体" w:hAnsi="宋体" w:cs="宋体"/>
          <w:sz w:val="24"/>
          <w:highlight w:val="yellow"/>
        </w:rPr>
      </w:pPr>
      <w:r>
        <w:rPr>
          <w:rFonts w:hint="eastAsia" w:ascii="宋体" w:hAnsi="宋体" w:cs="宋体"/>
          <w:sz w:val="24"/>
        </w:rPr>
        <w:t xml:space="preserve">5.货物验收的标准：按国家相关标准和乙方投标文件的承诺进行验收。</w:t>
      </w:r>
      <w:r/>
    </w:p>
    <w:p>
      <w:pPr>
        <w:ind w:firstLine="482"/>
        <w:spacing w:line="360" w:lineRule="auto"/>
        <w:rPr>
          <w:rFonts w:ascii="宋体" w:hAnsi="宋体" w:cs="宋体"/>
          <w:b/>
          <w:sz w:val="24"/>
        </w:rPr>
      </w:pPr>
      <w:r>
        <w:rPr>
          <w:rFonts w:hint="eastAsia" w:ascii="宋体" w:hAnsi="宋体" w:cs="宋体"/>
          <w:b/>
          <w:sz w:val="24"/>
        </w:rPr>
        <w:t xml:space="preserve">第八条 合同款结算及支付</w:t>
      </w:r>
      <w:r/>
    </w:p>
    <w:p>
      <w:pPr>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p>
    <w:p>
      <w:pPr>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2.本合同项下的采购资金由甲方自行支付，乙方向甲方开具专票。</w:t>
      </w:r>
      <w:r/>
    </w:p>
    <w:p>
      <w:pPr>
        <w:ind w:firstLine="480"/>
        <w:spacing w:line="360" w:lineRule="auto"/>
        <w:rPr>
          <w:rFonts w:ascii="宋体" w:hAnsi="宋体" w:cs="宋体"/>
          <w:sz w:val="24"/>
        </w:rPr>
      </w:pPr>
      <w:r>
        <w:rPr>
          <w:rFonts w:hint="eastAsia" w:ascii="宋体" w:hAnsi="宋体" w:cs="宋体"/>
          <w:sz w:val="24"/>
        </w:rPr>
        <w:t xml:space="preserve">3.结算原则：固定总价。</w:t>
      </w:r>
      <w:r/>
    </w:p>
    <w:p>
      <w:pPr>
        <w:ind w:firstLine="480"/>
        <w:spacing w:line="360" w:lineRule="auto"/>
        <w:rPr>
          <w:rFonts w:ascii="宋体" w:hAnsi="宋体" w:cs="宋体"/>
          <w:sz w:val="24"/>
        </w:rPr>
      </w:pPr>
      <w:r>
        <w:rPr>
          <w:rFonts w:hint="eastAsia" w:ascii="宋体" w:hAnsi="宋体" w:cs="宋体"/>
          <w:sz w:val="24"/>
        </w:rPr>
        <w:t xml:space="preserve">4.付款方式： </w:t>
      </w:r>
      <w:r/>
    </w:p>
    <w:p>
      <w:pPr>
        <w:ind w:firstLine="482"/>
        <w:spacing w:line="360" w:lineRule="auto"/>
        <w:rPr>
          <w:rFonts w:ascii="宋体" w:hAnsi="宋体" w:cs="宋体"/>
          <w:b/>
          <w:sz w:val="24"/>
        </w:rPr>
      </w:pPr>
      <w:r>
        <w:rPr>
          <w:rFonts w:hint="eastAsia" w:ascii="宋体" w:hAnsi="宋体" w:cs="宋体"/>
          <w:b/>
          <w:sz w:val="24"/>
        </w:rPr>
        <w:t xml:space="preserve">第九条 伴随服务／售后服务</w:t>
      </w:r>
      <w:r/>
    </w:p>
    <w:p>
      <w:pPr>
        <w:ind w:firstLine="480"/>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p>
    <w:p>
      <w:pPr>
        <w:ind w:firstLine="480"/>
        <w:spacing w:line="360" w:lineRule="auto"/>
        <w:rPr>
          <w:rFonts w:ascii="宋体" w:hAnsi="宋体" w:cs="宋体"/>
          <w:sz w:val="24"/>
        </w:rPr>
      </w:pPr>
      <w:r>
        <w:rPr>
          <w:rFonts w:hint="eastAsia" w:ascii="宋体" w:hAnsi="宋体" w:cs="宋体"/>
          <w:sz w:val="24"/>
        </w:rPr>
        <w:t xml:space="preserve">2.若招标文件中不包含有关伴随服务或售后服务的承诺，双方作如下约定：</w:t>
      </w:r>
      <w:r/>
    </w:p>
    <w:p>
      <w:pPr>
        <w:ind w:firstLine="480"/>
        <w:spacing w:line="360" w:lineRule="auto"/>
        <w:rPr>
          <w:rFonts w:ascii="宋体" w:hAnsi="宋体" w:cs="宋体"/>
          <w:sz w:val="24"/>
        </w:rPr>
      </w:pPr>
      <w:r>
        <w:rPr>
          <w:rFonts w:hint="eastAsia" w:ascii="宋体" w:hAnsi="宋体" w:cs="宋体"/>
          <w:sz w:val="24"/>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p>
    <w:p>
      <w:pPr>
        <w:ind w:firstLine="480"/>
        <w:spacing w:line="360" w:lineRule="auto"/>
        <w:rPr>
          <w:rFonts w:ascii="宋体" w:hAnsi="宋体" w:cs="宋体"/>
          <w:sz w:val="24"/>
        </w:rPr>
      </w:pPr>
      <w:r>
        <w:rPr>
          <w:rFonts w:hint="eastAsia" w:ascii="宋体" w:hAnsi="宋体" w:cs="宋体"/>
          <w:sz w:val="24"/>
        </w:rPr>
        <w:t xml:space="preserve">2.2所购货物按乙方投标承诺提供免费维护和质量保证，保修费用计入总价。</w:t>
      </w:r>
      <w:r/>
    </w:p>
    <w:p>
      <w:pPr>
        <w:ind w:firstLine="480"/>
        <w:spacing w:line="360" w:lineRule="auto"/>
        <w:rPr>
          <w:rFonts w:ascii="宋体" w:hAnsi="宋体" w:cs="宋体"/>
          <w:sz w:val="24"/>
        </w:rPr>
      </w:pPr>
      <w:r>
        <w:rPr>
          <w:rFonts w:hint="eastAsia" w:ascii="宋体" w:hAnsi="宋体" w:cs="宋体"/>
          <w:sz w:val="24"/>
        </w:rPr>
        <w:t xml:space="preserve">2.3保修期内，乙方负责对其提供的货物整机进行维修和系统维护，不再收取任何费用，但不可抗力（如火灾、雷击等）造成的故障除外。</w:t>
      </w:r>
      <w:r/>
    </w:p>
    <w:p>
      <w:pPr>
        <w:ind w:firstLine="480"/>
        <w:spacing w:line="360" w:lineRule="auto"/>
        <w:rPr>
          <w:rFonts w:ascii="宋体" w:hAnsi="宋体" w:cs="宋体"/>
          <w:sz w:val="24"/>
        </w:rPr>
      </w:pPr>
      <w:r>
        <w:rPr>
          <w:rFonts w:hint="eastAsia" w:ascii="宋体" w:hAnsi="宋体" w:cs="宋体"/>
          <w:sz w:val="24"/>
        </w:rPr>
        <w:t xml:space="preserve">2.4货物故障报修的响应时间按乙方投标承诺执行。</w:t>
      </w:r>
      <w:r/>
    </w:p>
    <w:p>
      <w:pPr>
        <w:ind w:firstLine="480"/>
        <w:spacing w:line="360" w:lineRule="auto"/>
        <w:rPr>
          <w:rFonts w:ascii="宋体" w:hAnsi="宋体" w:cs="宋体"/>
          <w:sz w:val="24"/>
        </w:rPr>
      </w:pPr>
      <w:r>
        <w:rPr>
          <w:rFonts w:hint="eastAsia" w:ascii="宋体" w:hAnsi="宋体" w:cs="宋体"/>
          <w:sz w:val="24"/>
        </w:rPr>
        <w:t xml:space="preserve">2.5若货物故障在检修</w:t>
      </w:r>
      <w:r>
        <w:rPr>
          <w:rFonts w:hint="eastAsia" w:ascii="宋体" w:hAnsi="宋体" w:cs="宋体"/>
          <w:sz w:val="24"/>
          <w:u w:val="single"/>
        </w:rPr>
        <w:t xml:space="preserve">  </w:t>
      </w:r>
      <w:r>
        <w:rPr>
          <w:rFonts w:hint="eastAsia" w:ascii="宋体" w:hAnsi="宋体" w:cs="宋体"/>
          <w:sz w:val="24"/>
        </w:rPr>
        <w:t xml:space="preserve">工作小时后仍无法排除，乙方应在</w:t>
      </w:r>
      <w:r>
        <w:rPr>
          <w:rFonts w:hint="eastAsia" w:ascii="宋体" w:hAnsi="宋体" w:cs="宋体"/>
          <w:sz w:val="24"/>
          <w:u w:val="single"/>
        </w:rPr>
        <w:t xml:space="preserve">   </w:t>
      </w:r>
      <w:r>
        <w:rPr>
          <w:rFonts w:hint="eastAsia" w:ascii="宋体" w:hAnsi="宋体" w:cs="宋体"/>
          <w:sz w:val="24"/>
        </w:rPr>
        <w:t xml:space="preserve">小时内免费提供不低于故障货物规格型号档次的备用货物供甲方使用，直至故障货物修复。</w:t>
      </w:r>
      <w:r/>
    </w:p>
    <w:p>
      <w:pPr>
        <w:ind w:firstLine="480"/>
        <w:spacing w:line="360" w:lineRule="auto"/>
        <w:rPr>
          <w:rFonts w:ascii="宋体" w:hAnsi="宋体" w:cs="宋体"/>
          <w:sz w:val="24"/>
        </w:rPr>
      </w:pPr>
      <w:r>
        <w:rPr>
          <w:rFonts w:hint="eastAsia" w:ascii="宋体" w:hAnsi="宋体" w:cs="宋体"/>
          <w:sz w:val="24"/>
        </w:rPr>
        <w:t xml:space="preserve">2.6所有货物保修服务方式均为乙方上门保修，即由乙方派员到货物使用现场维修，由此产生的一切费用均由乙方承担。</w:t>
      </w:r>
      <w:r/>
    </w:p>
    <w:p>
      <w:pPr>
        <w:ind w:firstLine="480"/>
        <w:spacing w:line="360" w:lineRule="auto"/>
        <w:rPr>
          <w:rFonts w:ascii="宋体" w:hAnsi="宋体" w:cs="宋体"/>
          <w:sz w:val="24"/>
        </w:rPr>
      </w:pPr>
      <w:r>
        <w:rPr>
          <w:rFonts w:hint="eastAsia" w:ascii="宋体" w:hAnsi="宋体" w:cs="宋体"/>
          <w:sz w:val="24"/>
        </w:rPr>
        <w:t xml:space="preserve">2.7保修期后的货物维护由双方协商再定。</w:t>
      </w:r>
      <w:r/>
    </w:p>
    <w:p>
      <w:pPr>
        <w:ind w:firstLine="480"/>
        <w:spacing w:line="360" w:lineRule="auto"/>
        <w:rPr>
          <w:rFonts w:ascii="宋体" w:hAnsi="宋体" w:cs="宋体"/>
          <w:sz w:val="24"/>
        </w:rPr>
      </w:pPr>
      <w:r>
        <w:rPr>
          <w:rFonts w:hint="eastAsia" w:ascii="宋体" w:hAnsi="宋体" w:cs="宋体"/>
          <w:sz w:val="24"/>
        </w:rPr>
        <w:t xml:space="preserve">4.本项目免费保修期为： </w:t>
      </w:r>
      <w:r/>
    </w:p>
    <w:p>
      <w:pPr>
        <w:ind w:firstLine="482"/>
        <w:spacing w:line="360" w:lineRule="auto"/>
        <w:rPr>
          <w:rFonts w:ascii="宋体" w:hAnsi="宋体" w:cs="宋体"/>
          <w:b/>
          <w:sz w:val="24"/>
        </w:rPr>
      </w:pPr>
      <w:r>
        <w:rPr>
          <w:rFonts w:hint="eastAsia" w:ascii="宋体" w:hAnsi="宋体" w:cs="宋体"/>
          <w:b/>
          <w:sz w:val="24"/>
        </w:rPr>
        <w:t xml:space="preserve">第十条 违约责任</w:t>
      </w:r>
      <w:r/>
    </w:p>
    <w:p>
      <w:pPr>
        <w:ind w:firstLine="480"/>
        <w:spacing w:line="360" w:lineRule="auto"/>
        <w:rPr>
          <w:rFonts w:ascii="宋体" w:hAnsi="宋体" w:cs="宋体"/>
          <w:sz w:val="24"/>
        </w:rPr>
      </w:pPr>
      <w:r>
        <w:rPr>
          <w:rFonts w:hint="eastAsia" w:ascii="宋体" w:hAnsi="宋体" w:cs="宋体"/>
          <w:sz w:val="24"/>
        </w:rPr>
        <w:t xml:space="preserve">1.如乙方不能按时交付货物的，每逾期</w:t>
      </w:r>
      <w:r>
        <w:rPr>
          <w:rFonts w:hint="eastAsia" w:ascii="宋体" w:hAnsi="宋体" w:cs="宋体"/>
          <w:sz w:val="24"/>
          <w:u w:val="single"/>
        </w:rPr>
        <w:t xml:space="preserve">  </w:t>
      </w:r>
      <w:r>
        <w:rPr>
          <w:rFonts w:hint="eastAsia" w:ascii="宋体" w:hAnsi="宋体" w:cs="宋体"/>
          <w:sz w:val="24"/>
        </w:rPr>
        <w:t xml:space="preserve">天，乙方向甲方偿付合同总额</w:t>
      </w:r>
      <w:r>
        <w:rPr>
          <w:rFonts w:hint="eastAsia" w:ascii="宋体" w:hAnsi="宋体" w:cs="宋体"/>
          <w:sz w:val="24"/>
          <w:u w:val="single"/>
        </w:rPr>
        <w:t xml:space="preserve">   </w:t>
      </w:r>
      <w:r>
        <w:rPr>
          <w:rFonts w:hint="eastAsia" w:ascii="宋体" w:hAnsi="宋体" w:cs="宋体"/>
          <w:sz w:val="24"/>
        </w:rPr>
        <w:t xml:space="preserve">的违约金；乙方逾期交付货物超过</w:t>
      </w:r>
      <w:r>
        <w:rPr>
          <w:rFonts w:hint="eastAsia" w:ascii="宋体" w:hAnsi="宋体" w:cs="宋体"/>
          <w:sz w:val="24"/>
          <w:u w:val="single"/>
        </w:rPr>
        <w:t xml:space="preserve">  </w:t>
      </w:r>
      <w:r>
        <w:rPr>
          <w:rFonts w:hint="eastAsia" w:ascii="宋体" w:hAnsi="宋体" w:cs="宋体"/>
          <w:sz w:val="24"/>
        </w:rPr>
        <w:t xml:space="preserve">天，甲方有权单方解除合同，同时有权要求乙方按照合同总价</w:t>
      </w:r>
      <w:r>
        <w:rPr>
          <w:rFonts w:hint="eastAsia" w:ascii="宋体" w:hAnsi="宋体" w:cs="宋体"/>
          <w:sz w:val="24"/>
          <w:u w:val="single"/>
        </w:rPr>
        <w:t xml:space="preserve">   </w:t>
      </w:r>
      <w:r>
        <w:rPr>
          <w:rFonts w:hint="eastAsia" w:ascii="宋体" w:hAnsi="宋体" w:cs="宋体"/>
          <w:sz w:val="24"/>
        </w:rPr>
        <w:t xml:space="preserve">的标准支付违约金，解除合同的通知自发出之日生效。</w:t>
      </w:r>
      <w:r/>
    </w:p>
    <w:p>
      <w:pPr>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w:t>
      </w:r>
      <w:r>
        <w:rPr>
          <w:rFonts w:hint="eastAsia" w:ascii="宋体" w:hAnsi="宋体" w:cs="宋体"/>
          <w:sz w:val="24"/>
          <w:u w:val="single"/>
        </w:rPr>
        <w:t xml:space="preserve">  </w:t>
      </w:r>
      <w:r>
        <w:rPr>
          <w:rFonts w:hint="eastAsia" w:ascii="宋体" w:hAnsi="宋体" w:cs="宋体"/>
          <w:sz w:val="24"/>
        </w:rPr>
        <w:t xml:space="preserve">天甲方向乙方偿付欠款总额的</w:t>
      </w:r>
      <w:r>
        <w:rPr>
          <w:rFonts w:hint="eastAsia" w:ascii="宋体" w:hAnsi="宋体" w:cs="宋体"/>
          <w:sz w:val="24"/>
          <w:u w:val="single"/>
        </w:rPr>
        <w:t xml:space="preserve">   </w:t>
      </w:r>
      <w:r>
        <w:rPr>
          <w:rFonts w:hint="eastAsia" w:ascii="宋体" w:hAnsi="宋体" w:cs="宋体"/>
          <w:sz w:val="24"/>
        </w:rPr>
        <w:t xml:space="preserve">滞纳金，但累计滞纳金总额不超过欠款总额的</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3.乙方所交付的货物品种、型号、规格不符合合同规定的，甲方有权拒收，同时有权单方解除合同，解除合同的通知自发出之日生效。</w:t>
      </w:r>
      <w:r/>
    </w:p>
    <w:p>
      <w:pPr>
        <w:ind w:firstLine="480"/>
        <w:spacing w:line="360" w:lineRule="auto"/>
        <w:rPr>
          <w:rFonts w:ascii="宋体" w:hAnsi="宋体" w:cs="宋体"/>
          <w:sz w:val="24"/>
        </w:rPr>
      </w:pPr>
      <w:r>
        <w:rPr>
          <w:rFonts w:hint="eastAsia" w:ascii="宋体" w:hAnsi="宋体" w:cs="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款向乙方主张违约金，若仍不足以弥补甲方损失，则乙方还须赔偿甲方因此遭受的所有损失。</w:t>
      </w:r>
      <w:r/>
    </w:p>
    <w:p>
      <w:pPr>
        <w:ind w:firstLine="480"/>
        <w:spacing w:line="360" w:lineRule="auto"/>
        <w:rPr>
          <w:rFonts w:ascii="宋体" w:hAnsi="宋体" w:cs="宋体"/>
          <w:sz w:val="24"/>
        </w:rPr>
      </w:pPr>
      <w:r>
        <w:rPr>
          <w:rFonts w:hint="eastAsia" w:ascii="宋体" w:hAnsi="宋体" w:cs="宋体"/>
          <w:sz w:val="24"/>
        </w:rPr>
        <w:t xml:space="preserve">5.乙方未按本合同的规定和“服务承诺”提供伴随服务/售后服务的，甲方有权单方提前解除本合同，同时乙方应按合同总价款的</w:t>
      </w:r>
      <w:r>
        <w:rPr>
          <w:rFonts w:hint="eastAsia" w:ascii="宋体" w:hAnsi="宋体" w:cs="宋体"/>
          <w:sz w:val="24"/>
          <w:u w:val="single"/>
        </w:rPr>
        <w:t xml:space="preserve">   </w:t>
      </w:r>
      <w:r>
        <w:rPr>
          <w:rFonts w:hint="eastAsia" w:ascii="宋体" w:hAnsi="宋体" w:cs="宋体"/>
          <w:sz w:val="24"/>
        </w:rPr>
        <w:t xml:space="preserve">向甲方承担违约责任。</w:t>
      </w:r>
      <w:r/>
    </w:p>
    <w:p>
      <w:pPr>
        <w:ind w:firstLine="480"/>
        <w:spacing w:line="360" w:lineRule="auto"/>
        <w:rPr>
          <w:rFonts w:ascii="宋体" w:hAnsi="宋体" w:cs="宋体"/>
          <w:sz w:val="24"/>
        </w:rPr>
      </w:pPr>
      <w:r>
        <w:rPr>
          <w:rFonts w:hint="eastAsia" w:ascii="宋体" w:hAnsi="宋体" w:cs="宋体"/>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sz w:val="24"/>
        </w:rPr>
      </w:pPr>
      <w:r>
        <w:rPr>
          <w:rFonts w:hint="eastAsia" w:ascii="宋体" w:hAnsi="宋体" w:cs="宋体"/>
          <w:sz w:val="24"/>
        </w:rPr>
        <w:t xml:space="preserve">7.乙方投标属虚假承诺，或经权威部门监测提供的货物不能满足招标文件要求，或是由于乙方的过错造成合同无法继续履行的，应向甲方支付不少于合同总价</w:t>
      </w:r>
      <w:r>
        <w:rPr>
          <w:rFonts w:hint="eastAsia" w:ascii="宋体" w:hAnsi="宋体" w:cs="宋体"/>
          <w:sz w:val="24"/>
          <w:u w:val="single"/>
        </w:rPr>
        <w:t xml:space="preserve"> </w:t>
      </w:r>
      <w:r>
        <w:rPr>
          <w:rFonts w:ascii="宋体" w:hAnsi="宋体" w:cs="宋体"/>
          <w:sz w:val="24"/>
          <w:highlight w:val="none"/>
          <w:u w:val="single"/>
        </w:rPr>
        <w:t xml:space="preserve">30%</w:t>
      </w:r>
      <w:r>
        <w:rPr>
          <w:rFonts w:hint="eastAsia" w:ascii="宋体" w:hAnsi="宋体" w:cs="宋体"/>
          <w:sz w:val="24"/>
          <w:highlight w:val="none"/>
          <w:u w:val="single"/>
        </w:rPr>
        <w:t xml:space="preserve"> </w:t>
      </w:r>
      <w:r>
        <w:rPr>
          <w:rFonts w:hint="eastAsia" w:ascii="宋体" w:hAnsi="宋体" w:cs="宋体"/>
          <w:sz w:val="24"/>
        </w:rPr>
        <w:t xml:space="preserve">违约金，若该违约金不足以弥补甲方损失，则应当赔偿甲方所有损失。</w:t>
      </w:r>
      <w:r/>
    </w:p>
    <w:p>
      <w:pPr>
        <w:ind w:firstLine="480"/>
        <w:spacing w:line="360" w:lineRule="auto"/>
        <w:rPr>
          <w:rFonts w:ascii="宋体" w:hAnsi="宋体" w:cs="宋体"/>
          <w:sz w:val="24"/>
        </w:rPr>
      </w:pPr>
      <w:r>
        <w:rPr>
          <w:rFonts w:hint="eastAsia" w:ascii="宋体" w:hAnsi="宋体" w:cs="宋体"/>
          <w:sz w:val="24"/>
        </w:rPr>
        <w:t xml:space="preserve">8.其他未尽事宜，以《中华人民共和国民法典》等有关法律法规规定为准，无相关规定的，双方协商解决。</w:t>
      </w:r>
      <w:r/>
    </w:p>
    <w:p>
      <w:pPr>
        <w:ind w:firstLine="482"/>
        <w:spacing w:line="360" w:lineRule="auto"/>
        <w:rPr>
          <w:rFonts w:ascii="宋体" w:hAnsi="宋体" w:cs="宋体"/>
          <w:b/>
          <w:sz w:val="24"/>
        </w:rPr>
      </w:pPr>
      <w:r>
        <w:rPr>
          <w:rFonts w:hint="eastAsia" w:ascii="宋体" w:hAnsi="宋体" w:cs="宋体"/>
          <w:b/>
          <w:sz w:val="24"/>
        </w:rPr>
        <w:t xml:space="preserve">第十一条 合同的变更和终止</w:t>
      </w:r>
      <w:r/>
    </w:p>
    <w:p>
      <w:pPr>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p>
    <w:p>
      <w:pPr>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p>
    <w:p>
      <w:pPr>
        <w:ind w:firstLine="482"/>
        <w:spacing w:line="360" w:lineRule="auto"/>
        <w:rPr>
          <w:rFonts w:ascii="宋体" w:hAnsi="宋体" w:cs="宋体"/>
          <w:b/>
          <w:sz w:val="24"/>
        </w:rPr>
      </w:pPr>
      <w:r>
        <w:rPr>
          <w:rFonts w:hint="eastAsia" w:ascii="宋体" w:hAnsi="宋体" w:cs="宋体"/>
          <w:b/>
          <w:sz w:val="24"/>
        </w:rPr>
        <w:t xml:space="preserve">第十二条 合同的转让</w:t>
      </w:r>
      <w:r/>
    </w:p>
    <w:p>
      <w:pPr>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p>
    <w:p>
      <w:pPr>
        <w:ind w:firstLine="482"/>
        <w:spacing w:line="360" w:lineRule="auto"/>
        <w:rPr>
          <w:rFonts w:ascii="宋体" w:hAnsi="宋体" w:cs="宋体"/>
          <w:b/>
          <w:sz w:val="24"/>
        </w:rPr>
      </w:pPr>
      <w:r>
        <w:rPr>
          <w:rFonts w:hint="eastAsia" w:ascii="宋体" w:hAnsi="宋体" w:cs="宋体"/>
          <w:b/>
          <w:sz w:val="24"/>
        </w:rPr>
        <w:t xml:space="preserve">第十三条 不可抗力</w:t>
      </w:r>
      <w:r/>
    </w:p>
    <w:p>
      <w:pPr>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p>
    <w:p>
      <w:pPr>
        <w:ind w:firstLine="480"/>
        <w:spacing w:line="360" w:lineRule="auto"/>
        <w:rPr>
          <w:rFonts w:ascii="宋体" w:hAnsi="宋体" w:cs="宋体"/>
          <w:sz w:val="24"/>
        </w:rPr>
      </w:pPr>
      <w:r>
        <w:rPr>
          <w:rFonts w:hint="eastAsia" w:ascii="宋体" w:hAnsi="宋体" w:cs="宋体"/>
          <w:sz w:val="24"/>
        </w:rPr>
        <w:t xml:space="preserve">乙方交付货物后，甲方发现货物的质量与合同内容不符或证实货物存在缺陷的（包括潜在缺陷），乙方应在收到甲方索赔通知后</w:t>
      </w:r>
      <w:r>
        <w:rPr>
          <w:rFonts w:hint="eastAsia" w:ascii="宋体" w:hAnsi="宋体" w:cs="宋体"/>
          <w:sz w:val="24"/>
          <w:u w:val="single"/>
        </w:rPr>
        <w:t xml:space="preserve">  </w:t>
      </w:r>
      <w:r>
        <w:rPr>
          <w:rFonts w:hint="eastAsia" w:ascii="宋体" w:hAnsi="宋体" w:cs="宋体"/>
          <w:sz w:val="24"/>
        </w:rPr>
        <w:t xml:space="preserve">日内到甲方处，商量解决货物质量或缺陷问题。若乙方未在上述约定时间内到场解决，因此产生的损失以及扩大损失全部由乙方承担，甲方有权选择解除合同，要求退还全部货物，返还所有货款，并有权按照合同总额</w:t>
      </w:r>
      <w:r>
        <w:rPr>
          <w:rFonts w:hint="eastAsia" w:ascii="宋体" w:hAnsi="宋体" w:cs="宋体"/>
          <w:sz w:val="24"/>
          <w:u w:val="single"/>
        </w:rPr>
        <w:t xml:space="preserve">   </w:t>
      </w:r>
      <w:r>
        <w:rPr>
          <w:rFonts w:hint="eastAsia" w:ascii="宋体" w:hAnsi="宋体" w:cs="宋体"/>
          <w:sz w:val="24"/>
        </w:rPr>
        <w:t xml:space="preserve">标准向乙方主张违约金；或者有权安排第三方解决货物质量或缺陷问题，因此产生的所有费用全部由乙方承担，甲方可以在应付乙方的货款中直接扣除，同时甲方有权按照合同总额</w:t>
      </w:r>
      <w:r>
        <w:rPr>
          <w:rFonts w:hint="eastAsia" w:ascii="宋体" w:hAnsi="宋体" w:cs="宋体"/>
          <w:sz w:val="24"/>
          <w:u w:val="single"/>
        </w:rPr>
        <w:t xml:space="preserve">  </w:t>
      </w:r>
      <w:r>
        <w:rPr>
          <w:rFonts w:hint="eastAsia" w:ascii="宋体" w:hAnsi="宋体" w:cs="宋体"/>
          <w:sz w:val="24"/>
        </w:rPr>
        <w:t xml:space="preserve">标准向乙方主张违约金。若上述违约金不足以弥补甲方直接损失和间接损失，则乙方应赔偿甲方所有损失。</w:t>
      </w:r>
      <w:r/>
    </w:p>
    <w:p>
      <w:pPr>
        <w:ind w:firstLine="480"/>
        <w:spacing w:line="360" w:lineRule="auto"/>
        <w:rPr>
          <w:rFonts w:ascii="宋体" w:hAnsi="宋体" w:cs="宋体"/>
          <w:sz w:val="24"/>
        </w:rPr>
      </w:pPr>
      <w:r>
        <w:rPr>
          <w:rFonts w:hint="eastAsia" w:ascii="宋体" w:hAnsi="宋体" w:cs="宋体"/>
          <w:sz w:val="24"/>
        </w:rPr>
        <w:t xml:space="preserve">甲方因主张上述权利而支出的所有合理费用，包括但不限于律师费、诉讼费、鉴定费、差旅费、保函费等，均由乙方承担。</w:t>
      </w:r>
      <w:r/>
    </w:p>
    <w:p>
      <w:pPr>
        <w:ind w:firstLine="482"/>
        <w:spacing w:line="360" w:lineRule="auto"/>
        <w:rPr>
          <w:rFonts w:ascii="宋体" w:hAnsi="宋体" w:cs="宋体"/>
          <w:b/>
          <w:sz w:val="24"/>
        </w:rPr>
      </w:pPr>
      <w:r>
        <w:rPr>
          <w:rFonts w:hint="eastAsia" w:ascii="宋体" w:hAnsi="宋体" w:cs="宋体"/>
          <w:b/>
          <w:sz w:val="24"/>
        </w:rPr>
        <w:t xml:space="preserve">第十五条 争议的解决</w:t>
      </w:r>
      <w:r/>
    </w:p>
    <w:p>
      <w:pPr>
        <w:ind w:firstLine="480"/>
        <w:spacing w:line="360" w:lineRule="auto"/>
        <w:rPr>
          <w:rFonts w:ascii="宋体" w:hAnsi="宋体" w:cs="宋体"/>
          <w:sz w:val="24"/>
        </w:rPr>
      </w:pPr>
      <w:r>
        <w:rPr>
          <w:rFonts w:hint="eastAsia" w:ascii="宋体" w:hAnsi="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ascii="宋体" w:hAnsi="宋体" w:cs="宋体"/>
          <w:sz w:val="24"/>
        </w:rPr>
      </w:pPr>
      <w:r>
        <w:rPr>
          <w:rFonts w:hint="eastAsia" w:ascii="宋体" w:hAnsi="宋体" w:cs="宋体"/>
          <w:sz w:val="24"/>
        </w:rPr>
        <w:t xml:space="preserve">2.因履行本合同引起的或与本合同有关的争议，甲、乙双方应首先通过友好协商解决，如果协商不能解决争议，则采取以下第（2）种方式解决争议：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sz w:val="24"/>
        </w:rPr>
      </w:pPr>
      <w:r>
        <w:rPr>
          <w:rFonts w:hint="eastAsia" w:ascii="宋体" w:hAnsi="宋体" w:cs="宋体"/>
          <w:sz w:val="24"/>
        </w:rPr>
        <w:t xml:space="preserve">（1）向甲方所在地人民法院提起诉讼；</w:t>
      </w:r>
      <w:r/>
    </w:p>
    <w:p>
      <w:pPr>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p>
    <w:p>
      <w:pPr>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p>
    <w:p>
      <w:pPr>
        <w:ind w:firstLine="480"/>
        <w:spacing w:line="360" w:lineRule="auto"/>
        <w:rPr>
          <w:rFonts w:ascii="宋体" w:hAnsi="宋体" w:cs="宋体"/>
          <w:sz w:val="24"/>
        </w:rPr>
      </w:pPr>
      <w:r>
        <w:rPr>
          <w:rFonts w:hint="eastAsia" w:ascii="宋体" w:hAnsi="宋体" w:cs="宋体"/>
          <w:sz w:val="24"/>
        </w:rPr>
        <w:t xml:space="preserve">3、在法院审理和仲裁期间，除有争议部分外，本合同其他部分应继续履行。</w:t>
      </w:r>
      <w:r/>
    </w:p>
    <w:p>
      <w:pPr>
        <w:ind w:firstLine="482"/>
        <w:spacing w:line="360" w:lineRule="auto"/>
        <w:rPr>
          <w:rFonts w:ascii="宋体" w:hAnsi="宋体" w:cs="宋体"/>
          <w:b/>
          <w:sz w:val="24"/>
        </w:rPr>
      </w:pPr>
      <w:r>
        <w:rPr>
          <w:rFonts w:hint="eastAsia" w:ascii="宋体" w:hAnsi="宋体" w:cs="宋体"/>
          <w:b/>
          <w:sz w:val="24"/>
        </w:rPr>
        <w:t xml:space="preserve">第十六条 诚实信用 </w:t>
      </w:r>
      <w:r/>
    </w:p>
    <w:p>
      <w:pPr>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sz w:val="24"/>
        </w:rPr>
      </w:pPr>
      <w:r>
        <w:rPr>
          <w:rFonts w:hint="eastAsia" w:ascii="宋体" w:hAnsi="宋体" w:cs="宋体"/>
          <w:b/>
          <w:sz w:val="24"/>
        </w:rPr>
        <w:t xml:space="preserve">第十七条 合同生效及其他</w:t>
      </w:r>
      <w:r/>
    </w:p>
    <w:p>
      <w:pPr>
        <w:ind w:firstLine="480"/>
        <w:spacing w:line="360" w:lineRule="auto"/>
        <w:rPr>
          <w:rFonts w:ascii="宋体" w:hAnsi="宋体" w:cs="宋体"/>
          <w:sz w:val="24"/>
        </w:rPr>
      </w:pPr>
      <w:r>
        <w:rPr>
          <w:rFonts w:hint="eastAsia" w:ascii="宋体" w:hAnsi="宋体" w:cs="宋体"/>
          <w:sz w:val="24"/>
        </w:rPr>
        <w:t xml:space="preserve">1.本合同经甲乙双方授权代表签字并加盖公章或合同章之日起生效。</w:t>
      </w:r>
      <w:r/>
    </w:p>
    <w:p>
      <w:pPr>
        <w:ind w:firstLine="480"/>
        <w:spacing w:line="360" w:lineRule="auto"/>
        <w:rPr>
          <w:rFonts w:ascii="宋体" w:hAnsi="宋体" w:cs="宋体"/>
          <w:sz w:val="24"/>
        </w:rPr>
      </w:pPr>
      <w:r>
        <w:rPr>
          <w:rFonts w:hint="eastAsia" w:ascii="宋体" w:hAnsi="宋体" w:cs="宋体"/>
          <w:sz w:val="24"/>
        </w:rPr>
        <w:t xml:space="preserve">2.本合同一式肆份，甲乙双方各执贰份。</w:t>
      </w:r>
      <w:r/>
    </w:p>
    <w:p>
      <w:pPr>
        <w:ind w:firstLine="480"/>
        <w:spacing w:line="360" w:lineRule="auto"/>
        <w:rPr>
          <w:rFonts w:ascii="宋体" w:hAnsi="宋体" w:cs="宋体"/>
          <w:b/>
          <w:bCs/>
          <w:sz w:val="24"/>
        </w:rPr>
      </w:pPr>
      <w:r>
        <w:rPr>
          <w:rFonts w:hint="eastAsia" w:ascii="宋体" w:hAnsi="宋体" w:cs="宋体"/>
          <w:sz w:val="24"/>
        </w:rPr>
        <w:t xml:space="preserve">3.本合同应按照中华人民共和国的现行法律进行解释。</w:t>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法定代表人：     委托代理人： </w:t>
      </w:r>
      <w:r/>
    </w:p>
    <w:p>
      <w:pPr>
        <w:spacing w:line="360" w:lineRule="auto"/>
        <w:rPr>
          <w:rFonts w:ascii="宋体" w:hAnsi="宋体" w:cs="宋体"/>
          <w:sz w:val="24"/>
        </w:rPr>
      </w:pPr>
      <w:r>
        <w:rPr>
          <w:rFonts w:hint="eastAsia" w:ascii="宋体" w:hAnsi="宋体" w:cs="宋体"/>
          <w:sz w:val="24"/>
        </w:rPr>
        <w:t xml:space="preserve">电话：</w:t>
      </w:r>
      <w:r/>
    </w:p>
    <w:p>
      <w:pPr>
        <w:jc w:val="left"/>
        <w:spacing w:line="360" w:lineRule="auto"/>
        <w:rPr>
          <w:rFonts w:ascii="宋体" w:hAnsi="宋体" w:cs="宋体"/>
          <w:b/>
          <w:bCs/>
          <w:sz w:val="24"/>
        </w:rPr>
      </w:pPr>
      <w:r>
        <w:rPr>
          <w:rFonts w:ascii="宋体" w:hAnsi="宋体" w:cs="宋体"/>
          <w:b/>
          <w:bCs/>
          <w:sz w:val="24"/>
        </w:rPr>
      </w:r>
      <w:r/>
    </w:p>
    <w:p>
      <w:pPr>
        <w:jc w:val="left"/>
        <w:spacing w:line="360" w:lineRule="auto"/>
        <w:rPr>
          <w:rFonts w:ascii="宋体" w:hAnsi="宋体" w:cs="宋体"/>
          <w:sz w:val="24"/>
        </w:rPr>
      </w:pP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法定代表人：     委托代理人： </w:t>
      </w:r>
      <w:r/>
    </w:p>
    <w:p>
      <w:pPr>
        <w:spacing w:line="360" w:lineRule="auto"/>
        <w:rPr>
          <w:rFonts w:ascii="宋体" w:hAnsi="宋体" w:cs="宋体"/>
          <w:sz w:val="24"/>
        </w:rPr>
      </w:pPr>
      <w:r>
        <w:rPr>
          <w:rFonts w:hint="eastAsia" w:ascii="宋体" w:hAnsi="宋体" w:cs="宋体"/>
          <w:sz w:val="24"/>
        </w:rPr>
        <w:t xml:space="preserve">电话：</w:t>
      </w:r>
      <w:r/>
    </w:p>
    <w:p>
      <w:pPr>
        <w:spacing w:line="360" w:lineRule="auto"/>
        <w:rPr>
          <w:rFonts w:ascii="宋体" w:hAnsi="宋体" w:cs="宋体"/>
          <w:sz w:val="24"/>
        </w:rPr>
      </w:pPr>
      <w:r>
        <w:rPr>
          <w:rFonts w:hint="eastAsia" w:ascii="宋体" w:hAnsi="宋体" w:cs="宋体"/>
          <w:sz w:val="24"/>
        </w:rPr>
        <w:t xml:space="preserve">传真：</w:t>
      </w:r>
      <w:r/>
    </w:p>
    <w:p>
      <w:pPr>
        <w:spacing w:line="360" w:lineRule="auto"/>
        <w:rPr>
          <w:rFonts w:ascii="宋体" w:hAnsi="宋体" w:cs="宋体"/>
          <w:sz w:val="24"/>
        </w:rPr>
      </w:pPr>
      <w:r>
        <w:rPr>
          <w:rFonts w:hint="eastAsia" w:ascii="宋体" w:hAnsi="宋体" w:cs="宋体"/>
          <w:sz w:val="24"/>
        </w:rPr>
        <w:t xml:space="preserve">开户银行： </w:t>
      </w:r>
      <w:r/>
    </w:p>
    <w:p>
      <w:pPr>
        <w:spacing w:line="360" w:lineRule="auto"/>
        <w:rPr>
          <w:rFonts w:ascii="宋体" w:hAnsi="宋体" w:cs="宋体"/>
          <w:sz w:val="24"/>
        </w:rPr>
      </w:pPr>
      <w:r>
        <w:rPr>
          <w:rFonts w:hint="eastAsia" w:ascii="宋体" w:hAnsi="宋体" w:cs="宋体"/>
          <w:sz w:val="24"/>
        </w:rPr>
        <w:t xml:space="preserve">账号：</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center"/>
        <w:rPr>
          <w:b/>
          <w:bCs/>
        </w:rPr>
      </w:pPr>
      <w:r>
        <w:rPr>
          <w:b/>
          <w:bCs/>
          <w:szCs w:val="21"/>
        </w:rPr>
        <w:t xml:space="preserve">以上格式仅供参考</w:t>
      </w: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482"/>
        <w:rPr>
          <w:rFonts w:ascii="宋体" w:hAnsi="宋体" w:cs="宋体"/>
          <w:b/>
          <w:bCs/>
          <w:color w:val="000000"/>
        </w:rPr>
        <w:outlineLvl w:val="1"/>
      </w:pPr>
      <w:r>
        <w:rPr>
          <w:rFonts w:hint="eastAsia" w:ascii="宋体" w:hAnsi="宋体" w:cs="宋体"/>
          <w:b/>
          <w:color w:val="000000"/>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01"/>
        <w:ind w:firstLine="482"/>
        <w:spacing w:line="360" w:lineRule="auto"/>
        <w:rPr>
          <w:rFonts w:hAnsi="宋体" w:cs="宋体"/>
        </w:rPr>
      </w:pPr>
      <w:r>
        <w:rPr>
          <w:rFonts w:hint="eastAsia" w:hAnsi="宋体" w:cs="宋体"/>
        </w:rPr>
        <w:t xml:space="preserve">致：常州正衡招投标有限公司</w:t>
      </w:r>
      <w:r/>
    </w:p>
    <w:p>
      <w:pPr>
        <w:pStyle w:val="901"/>
        <w:ind w:firstLine="960"/>
        <w:spacing w:line="360" w:lineRule="auto"/>
        <w:rPr>
          <w:rFonts w:hAnsi="宋体" w:cs="宋体"/>
          <w:u w:val="single"/>
        </w:rPr>
      </w:pPr>
      <w:r>
        <w:rPr>
          <w:rFonts w:hint="eastAsia" w:hAnsi="宋体" w:cs="宋体"/>
          <w:u w:val="single"/>
        </w:rPr>
        <w:t xml:space="preserve">（采购人名称）</w:t>
      </w:r>
      <w:r/>
    </w:p>
    <w:p>
      <w:pPr>
        <w:pStyle w:val="901"/>
        <w:ind w:firstLine="482"/>
        <w:spacing w:line="360" w:lineRule="auto"/>
        <w:rPr>
          <w:rFonts w:hAnsi="宋体" w:cs="宋体"/>
        </w:rPr>
      </w:pPr>
      <w:r>
        <w:rPr>
          <w:rFonts w:hAnsi="宋体" w:cs="宋体"/>
        </w:rPr>
      </w:r>
      <w:r/>
    </w:p>
    <w:p>
      <w:pPr>
        <w:pStyle w:val="901"/>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01"/>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01"/>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01"/>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01"/>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01"/>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01"/>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01"/>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01"/>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01"/>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01"/>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01"/>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01"/>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01"/>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01"/>
        <w:ind w:firstLine="482"/>
        <w:spacing w:line="360" w:lineRule="auto"/>
        <w:rPr>
          <w:rFonts w:hAnsi="宋体" w:cs="宋体"/>
        </w:rPr>
        <w:outlineLvl w:val="1"/>
      </w:pPr>
      <w:r>
        <w:rPr>
          <w:rFonts w:hint="eastAsia" w:hAnsi="宋体" w:cs="宋体"/>
        </w:rPr>
        <w:t xml:space="preserve">九、我单位无以下不良信用记录情形：</w:t>
      </w:r>
      <w:r/>
    </w:p>
    <w:p>
      <w:pPr>
        <w:pStyle w:val="901"/>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01"/>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01"/>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01"/>
        <w:ind w:firstLine="482"/>
        <w:spacing w:line="360" w:lineRule="auto"/>
        <w:rPr>
          <w:rFonts w:hAnsi="宋体" w:cs="宋体"/>
        </w:rPr>
      </w:pPr>
      <w:r>
        <w:rPr>
          <w:rFonts w:hAnsi="宋体" w:cs="宋体"/>
        </w:rPr>
      </w:r>
      <w:r/>
    </w:p>
    <w:p>
      <w:pPr>
        <w:pStyle w:val="901"/>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01"/>
        <w:ind w:firstLine="482"/>
        <w:spacing w:line="360" w:lineRule="auto"/>
        <w:rPr>
          <w:rFonts w:hAnsi="宋体" w:cs="宋体"/>
        </w:rPr>
      </w:pPr>
      <w:r>
        <w:rPr>
          <w:rFonts w:hAnsi="宋体" w:cs="宋体"/>
        </w:rPr>
      </w:r>
      <w:r/>
    </w:p>
    <w:p>
      <w:pPr>
        <w:pStyle w:val="901"/>
        <w:ind w:firstLine="482"/>
        <w:spacing w:line="360" w:lineRule="auto"/>
        <w:rPr>
          <w:rFonts w:hAnsi="宋体" w:cs="宋体"/>
        </w:rPr>
      </w:pPr>
      <w:r>
        <w:rPr>
          <w:rFonts w:hAnsi="宋体" w:cs="宋体"/>
        </w:rPr>
      </w:r>
      <w:r/>
    </w:p>
    <w:p>
      <w:pPr>
        <w:pStyle w:val="901"/>
        <w:ind w:firstLine="482"/>
        <w:spacing w:line="360" w:lineRule="auto"/>
        <w:rPr>
          <w:rFonts w:hAnsi="宋体" w:cs="宋体"/>
        </w:rPr>
      </w:pPr>
      <w:r>
        <w:rPr>
          <w:rFonts w:hint="eastAsia" w:hAnsi="宋体" w:cs="宋体"/>
        </w:rPr>
        <w:t xml:space="preserve">投标人：（加盖公章）</w:t>
      </w:r>
      <w:r/>
    </w:p>
    <w:p>
      <w:pPr>
        <w:pStyle w:val="901"/>
        <w:ind w:firstLine="482"/>
        <w:spacing w:line="360" w:lineRule="auto"/>
        <w:rPr>
          <w:rFonts w:hAnsi="宋体" w:cs="宋体"/>
        </w:rPr>
      </w:pPr>
      <w:r>
        <w:rPr>
          <w:rFonts w:hint="eastAsia" w:hAnsi="宋体" w:cs="宋体"/>
        </w:rPr>
        <w:t xml:space="preserve">法定代表人（或单位负责人）签字或盖章：</w:t>
      </w:r>
      <w:r/>
    </w:p>
    <w:p>
      <w:pPr>
        <w:pStyle w:val="901"/>
        <w:ind w:firstLine="482"/>
        <w:spacing w:line="360" w:lineRule="auto"/>
        <w:rPr>
          <w:rFonts w:hAnsi="宋体" w:cs="宋体"/>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rPr>
          <w:rFonts w:hint="eastAsia" w:ascii="宋体" w:hAnsi="宋体" w:cs="宋体"/>
          <w:sz w:val="24"/>
        </w:rPr>
        <w:t xml:space="preserve">1-3 其他特定资格要求：</w:t>
      </w:r>
      <w:r/>
    </w:p>
    <w:p>
      <w:pPr>
        <w:ind w:firstLine="482"/>
        <w:spacing w:line="360" w:lineRule="auto"/>
        <w:rPr>
          <w:rFonts w:ascii="宋体" w:hAnsi="宋体" w:cs="宋体"/>
          <w:sz w:val="24"/>
        </w:rPr>
      </w:pPr>
      <w:r>
        <w:rPr>
          <w:rFonts w:hint="eastAsia" w:ascii="宋体" w:hAnsi="宋体" w:cs="宋体"/>
          <w:sz w:val="24"/>
        </w:rPr>
        <w:t xml:space="preserve">本项目接受进口产品投标，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sz w:val="24"/>
          <w:szCs w:val="20"/>
        </w:rPr>
        <w:br w:type="page" w:clear="all"/>
      </w:r>
      <w:r>
        <w:rPr>
          <w:rFonts w:hint="eastAsia" w:ascii="宋体" w:hAnsi="宋体" w:cs="宋体"/>
          <w:b/>
          <w:sz w:val="32"/>
          <w:szCs w:val="32"/>
        </w:rPr>
        <w:t xml:space="preserve">二、商务技术文件格式</w:t>
      </w:r>
      <w:bookmarkStart w:id="792" w:name="_Toc226965829"/>
      <w:r/>
      <w:bookmarkStart w:id="793" w:name="_Toc520356217"/>
      <w:r/>
      <w:bookmarkStart w:id="794" w:name="_Toc480942349"/>
      <w:r/>
      <w:bookmarkStart w:id="795" w:name="_Toc195842921"/>
      <w:r/>
      <w:bookmarkStart w:id="796" w:name="_Toc127151556"/>
      <w:r/>
      <w:bookmarkStart w:id="797" w:name="_Toc150774761"/>
      <w:r/>
      <w:bookmarkStart w:id="798" w:name="_Toc226965746"/>
      <w:r/>
      <w:bookmarkStart w:id="799" w:name="_Toc226337252"/>
      <w:r/>
      <w:bookmarkStart w:id="800" w:name="_Ref467988698"/>
      <w:r/>
      <w:bookmarkStart w:id="801" w:name="_Toc150480794"/>
      <w:r/>
      <w:bookmarkStart w:id="802" w:name="_Toc142311058"/>
      <w:r/>
      <w:bookmarkStart w:id="803" w:name="_Toc226309800"/>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4" w:name="_Hlt520355938"/>
      <w:r/>
      <w:bookmarkEnd w:id="804"/>
      <w:r/>
      <w:bookmarkStart w:id="805" w:name="_Hlt520356243"/>
      <w:r/>
      <w:bookmarkEnd w:id="805"/>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06"/>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898"/>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身份证号码：</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p>
    <w:p>
      <w:pPr>
        <w:ind w:firstLine="482"/>
        <w:jc w:val="left"/>
        <w:widowControl/>
        <w:rPr>
          <w:rFonts w:ascii="宋体" w:hAnsi="宋体" w:cs="宋体"/>
          <w:color w:val="000000"/>
          <w:sz w:val="24"/>
        </w:rPr>
        <w:outlineLvl w:val="2"/>
      </w:pPr>
      <w:r>
        <w:rPr>
          <w:rFonts w:hint="eastAsia" w:ascii="宋体" w:hAnsi="宋体" w:cs="宋体"/>
          <w:color w:val="000000"/>
          <w:sz w:val="24"/>
        </w:rPr>
        <w:br w:type="page" w:clear="all"/>
      </w:r>
      <w:r>
        <w:rPr>
          <w:rFonts w:hint="eastAsia" w:ascii="宋体" w:hAnsi="宋体" w:cs="宋体"/>
          <w:color w:val="000000"/>
          <w:sz w:val="24"/>
        </w:rPr>
        <w:t xml:space="preserve">3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06" w:name="_Hlt520355504"/>
      <w:r/>
      <w:bookmarkEnd w:id="806"/>
      <w:r/>
      <w:bookmarkStart w:id="807" w:name="_Hlt520350918"/>
      <w:r/>
      <w:bookmarkEnd w:id="807"/>
      <w:r/>
      <w:bookmarkStart w:id="808" w:name="_Hlt520274393"/>
      <w:r/>
      <w:bookmarkEnd w:id="808"/>
      <w:r/>
      <w:bookmarkStart w:id="809" w:name="_Hlt520343392"/>
      <w:r/>
      <w:bookmarkEnd w:id="809"/>
      <w:r/>
      <w:bookmarkStart w:id="810" w:name="_Hlt520274065"/>
      <w:r/>
      <w:bookmarkEnd w:id="810"/>
      <w:r/>
      <w:bookmarkStart w:id="811" w:name="_Hlt520273711"/>
      <w:r/>
      <w:bookmarkEnd w:id="811"/>
      <w:r/>
      <w:bookmarkStart w:id="812" w:name="_Hlt520271212"/>
      <w:r/>
      <w:bookmarkEnd w:id="812"/>
      <w:r/>
      <w:bookmarkStart w:id="813" w:name="_Hlt520274121"/>
      <w:r/>
      <w:bookmarkEnd w:id="813"/>
      <w:r/>
      <w:bookmarkStart w:id="814" w:name="_Hlt520343000"/>
      <w:r/>
      <w:bookmarkEnd w:id="814"/>
      <w:r/>
      <w:bookmarkStart w:id="815" w:name="_Hlt520274407"/>
      <w:r/>
      <w:bookmarkEnd w:id="815"/>
      <w:r/>
      <w:bookmarkStart w:id="816" w:name="_Toc226965830"/>
      <w:r/>
      <w:bookmarkStart w:id="817" w:name="_Toc264969247"/>
      <w:r/>
      <w:bookmarkStart w:id="818" w:name="_Toc195842922"/>
      <w:r/>
      <w:bookmarkStart w:id="819" w:name="_Toc520356218"/>
      <w:r/>
      <w:bookmarkStart w:id="820" w:name="_Toc480942350"/>
      <w:r/>
      <w:bookmarkStart w:id="821" w:name="_Ref467988705"/>
      <w:r/>
      <w:bookmarkStart w:id="822" w:name="_Toc150774762"/>
      <w:r/>
      <w:bookmarkStart w:id="823" w:name="_Toc226309801"/>
      <w:r/>
      <w:bookmarkStart w:id="824" w:name="_Toc305158825"/>
      <w:r/>
      <w:bookmarkStart w:id="825" w:name="_Toc265228395"/>
      <w:r/>
      <w:bookmarkStart w:id="826" w:name="_Toc226965747"/>
      <w:r/>
      <w:bookmarkStart w:id="827" w:name="_Toc150480795"/>
      <w:r/>
      <w:bookmarkStart w:id="828" w:name="_Toc305158899"/>
      <w:r/>
      <w:bookmarkStart w:id="829" w:name="_Toc226337253"/>
      <w:r/>
      <w:bookmarkStart w:id="830" w:name="_Toc127151557"/>
      <w:r/>
      <w:bookmarkStart w:id="831" w:name="_Toc142311059"/>
      <w:r>
        <w:rPr>
          <w:rFonts w:hint="eastAsia" w:ascii="宋体" w:hAnsi="宋体" w:cs="宋体"/>
          <w:color w:val="000000"/>
          <w:sz w:val="24"/>
          <w:szCs w:val="20"/>
        </w:rPr>
        <w:br w:type="page" w:clear="all"/>
      </w:r>
      <w:r>
        <w:rPr>
          <w:rFonts w:hint="eastAsia" w:ascii="宋体" w:hAnsi="宋体" w:cs="宋体"/>
          <w:color w:val="000000"/>
          <w:sz w:val="24"/>
          <w:szCs w:val="20"/>
        </w:rPr>
        <w:t xml:space="preserve">4  开标一览表</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2" w:name="_Toc305158826"/>
      <w:r/>
      <w:bookmarkStart w:id="833" w:name="_Toc164608827"/>
      <w:r/>
      <w:bookmarkStart w:id="834" w:name="_Toc226309802"/>
      <w:r/>
      <w:bookmarkStart w:id="835" w:name="_Toc226337254"/>
      <w:r/>
      <w:bookmarkStart w:id="836" w:name="_Toc164608672"/>
      <w:r/>
      <w:bookmarkStart w:id="837" w:name="_Toc226965831"/>
      <w:r/>
      <w:bookmarkStart w:id="838" w:name="_Toc264969248"/>
      <w:r/>
      <w:bookmarkStart w:id="839" w:name="_Toc195842923"/>
      <w:r/>
      <w:bookmarkStart w:id="840" w:name="_Toc305158900"/>
      <w:r/>
      <w:bookmarkStart w:id="841" w:name="_Toc226965748"/>
      <w:r/>
      <w:bookmarkStart w:id="842" w:name="_Toc265228396"/>
      <w:r>
        <w:rPr>
          <w:rFonts w:hint="eastAsia" w:ascii="宋体" w:hAnsi="宋体" w:cs="宋体"/>
          <w:b/>
          <w:sz w:val="28"/>
          <w:szCs w:val="28"/>
        </w:rPr>
        <w:t xml:space="preserve">开标一览表</w:t>
      </w:r>
      <w:bookmarkEnd w:id="832"/>
      <w:r/>
      <w:bookmarkEnd w:id="833"/>
      <w:r/>
      <w:bookmarkEnd w:id="834"/>
      <w:r/>
      <w:bookmarkEnd w:id="835"/>
      <w:r/>
      <w:bookmarkEnd w:id="836"/>
      <w:r/>
      <w:bookmarkEnd w:id="837"/>
      <w:r/>
      <w:bookmarkEnd w:id="838"/>
      <w:r/>
      <w:bookmarkEnd w:id="839"/>
      <w:r/>
      <w:bookmarkEnd w:id="840"/>
      <w:r/>
      <w:bookmarkEnd w:id="841"/>
      <w:r/>
      <w:bookmarkEnd w:id="842"/>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898"/>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32"/>
        <w:gridCol w:w="3397"/>
        <w:gridCol w:w="1822"/>
        <w:gridCol w:w="1818"/>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3" w:name="_Toc127151558"/>
      <w:r/>
      <w:bookmarkStart w:id="844" w:name="_Toc150480796"/>
      <w:r/>
      <w:bookmarkStart w:id="845" w:name="_Toc305158901"/>
      <w:r/>
      <w:bookmarkStart w:id="846" w:name="_Toc142311060"/>
      <w:r/>
      <w:bookmarkStart w:id="847" w:name="_Toc226309803"/>
      <w:r/>
      <w:bookmarkStart w:id="848" w:name="_Toc195842924"/>
      <w:r/>
      <w:bookmarkStart w:id="849" w:name="_Toc226337255"/>
      <w:r/>
      <w:bookmarkStart w:id="850" w:name="_Toc226965832"/>
      <w:r/>
      <w:bookmarkStart w:id="851" w:name="_Toc265228397"/>
      <w:r/>
      <w:bookmarkStart w:id="852" w:name="_Toc305158827"/>
      <w:r/>
      <w:bookmarkStart w:id="853" w:name="_Toc150774763"/>
      <w:r/>
      <w:bookmarkStart w:id="854" w:name="_Toc264969249"/>
      <w:r/>
      <w:bookmarkStart w:id="855" w:name="_Toc226965749"/>
      <w:r>
        <w:rPr>
          <w:rFonts w:hint="eastAsia" w:ascii="宋体" w:hAnsi="宋体" w:cs="宋体"/>
          <w:color w:val="000000"/>
          <w:sz w:val="24"/>
          <w:szCs w:val="20"/>
        </w:rPr>
        <w:br w:type="page" w:clear="all"/>
      </w:r>
      <w:r>
        <w:rPr>
          <w:rFonts w:hint="eastAsia" w:ascii="宋体" w:hAnsi="宋体" w:cs="宋体"/>
          <w:color w:val="000000"/>
          <w:sz w:val="24"/>
          <w:szCs w:val="20"/>
        </w:rPr>
        <w:t xml:space="preserve">5  投标分项报价表</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spacing w:line="360" w:lineRule="auto"/>
        <w:tabs>
          <w:tab w:val="left" w:pos="1800" w:leader="none"/>
          <w:tab w:val="left" w:pos="5580" w:leader="none"/>
        </w:tabs>
        <w:rPr>
          <w:color w:val="000000"/>
          <w:sz w:val="24"/>
        </w:rPr>
      </w:pPr>
      <w:r/>
      <w:bookmarkStart w:id="856" w:name="_Toc226309806"/>
      <w:r/>
      <w:bookmarkStart w:id="857" w:name="_Toc226965752"/>
      <w:r/>
      <w:bookmarkStart w:id="858" w:name="_Toc264969252"/>
      <w:r/>
      <w:bookmarkStart w:id="859" w:name="_Toc265228400"/>
      <w:r/>
      <w:bookmarkStart w:id="860" w:name="_Toc150774765"/>
      <w:r/>
      <w:bookmarkStart w:id="861" w:name="_Toc226337258"/>
      <w:r/>
      <w:bookmarkStart w:id="862" w:name="_Toc150480798"/>
      <w:r/>
      <w:bookmarkStart w:id="863" w:name="_Toc142311062"/>
      <w:r/>
      <w:bookmarkStart w:id="864" w:name="_Toc305158904"/>
      <w:r/>
      <w:bookmarkStart w:id="865" w:name="_Toc127151562"/>
      <w:r/>
      <w:bookmarkStart w:id="866" w:name="_Toc226965835"/>
      <w:r/>
      <w:bookmarkStart w:id="867" w:name="_Toc195842927"/>
      <w:r/>
      <w:bookmarkStart w:id="868" w:name="_Toc305158830"/>
      <w:r/>
      <w:bookmarkStart w:id="869" w:name="_Toc264969251"/>
      <w:r/>
      <w:bookmarkStart w:id="870" w:name="_Toc142311061"/>
      <w:r/>
      <w:bookmarkStart w:id="871" w:name="_Toc226337257"/>
      <w:r/>
      <w:bookmarkStart w:id="872" w:name="_Toc265228399"/>
      <w:r/>
      <w:bookmarkStart w:id="873" w:name="_Toc226965834"/>
      <w:r/>
      <w:bookmarkStart w:id="874" w:name="_Toc305158829"/>
      <w:r/>
      <w:bookmarkStart w:id="875" w:name="_Toc150774764"/>
      <w:r/>
      <w:bookmarkStart w:id="876" w:name="_Toc195842926"/>
      <w:r/>
      <w:bookmarkStart w:id="877" w:name="_Toc226309805"/>
      <w:r/>
      <w:bookmarkStart w:id="878" w:name="_Toc305158903"/>
      <w:r/>
      <w:bookmarkStart w:id="879" w:name="_Toc226965751"/>
      <w:r/>
      <w:bookmarkStart w:id="880" w:name="_Toc127151561"/>
      <w:r/>
      <w:bookmarkStart w:id="881" w:name="_Toc150480797"/>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项目名称：__________报价单位：人民币元</w:t>
      </w:r>
      <w:r/>
    </w:p>
    <w:tbl>
      <w:tblPr>
        <w:tblStyle w:val="898"/>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50"/>
        <w:gridCol w:w="1227"/>
        <w:gridCol w:w="1241"/>
        <w:gridCol w:w="1378"/>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Borders>
              <w:top w:val="single" w:color="auto" w:sz="4" w:space="0"/>
              <w:left w:val="single" w:color="auto" w:sz="4" w:space="0"/>
              <w:bottom w:val="single" w:color="auto" w:sz="4" w:space="0"/>
              <w:right w:val="single" w:color="auto" w:sz="4" w:space="0"/>
            </w:tcBorders>
            <w:tcW w:w="1227"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241"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37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6  合同条款偏离表</w:t>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77"/>
        <w:gridCol w:w="1693"/>
        <w:gridCol w:w="1694"/>
        <w:gridCol w:w="2052"/>
        <w:gridCol w:w="721"/>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7  </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89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37"/>
          <w:sz w:val="24"/>
        </w:rPr>
        <w:t xml:space="preserve">http://202.106.120.146/baosong/appweb/orgScale.html</w:t>
      </w:r>
      <w:r>
        <w:rPr>
          <w:rStyle w:val="937"/>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482"/>
        <w:jc w:val="center"/>
        <w:spacing w:before="159" w:line="360" w:lineRule="auto"/>
        <w:widowControl/>
        <w:rPr>
          <w:rFonts w:ascii="宋体" w:hAnsi="宋体" w:cs="宋体"/>
          <w:b/>
          <w:sz w:val="28"/>
          <w:szCs w:val="28"/>
        </w:rPr>
        <w:outlineLvl w:val="3"/>
      </w:pPr>
      <w:r>
        <w:rPr>
          <w:b/>
          <w:bCs/>
          <w:color w:val="000000"/>
          <w:sz w:val="24"/>
        </w:rPr>
        <w:br w:type="page" w:clear="all"/>
      </w:r>
      <w:r>
        <w:rPr>
          <w:rFonts w:hint="eastAsia" w:ascii="宋体" w:hAnsi="宋体" w:cs="宋体"/>
          <w:b/>
          <w:sz w:val="28"/>
          <w:szCs w:val="28"/>
        </w:rPr>
        <w:t xml:space="preserve">中小企业声明函（货物）格式</w:t>
      </w:r>
      <w:r/>
    </w:p>
    <w:p>
      <w:pPr>
        <w:ind w:left="220" w:right="415" w:firstLine="482"/>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12"/>
        </w:numPr>
        <w:ind w:right="169" w:firstLine="482"/>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numPr>
          <w:ilvl w:val="0"/>
          <w:numId w:val="12"/>
        </w:numPr>
        <w:ind w:right="169" w:firstLine="482"/>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firstLine="482"/>
        <w:jc w:val="left"/>
        <w:spacing w:line="360" w:lineRule="auto"/>
        <w:rPr>
          <w:sz w:val="24"/>
        </w:rPr>
      </w:pPr>
      <w:r>
        <w:rPr>
          <w:sz w:val="24"/>
        </w:rPr>
        <w:t xml:space="preserve">……</w:t>
      </w:r>
      <w:r/>
    </w:p>
    <w:p>
      <w:pPr>
        <w:ind w:left="220" w:right="417" w:firstLine="482"/>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482"/>
        <w:jc w:val="left"/>
        <w:spacing w:line="360" w:lineRule="auto"/>
        <w:rPr>
          <w:sz w:val="24"/>
        </w:rPr>
      </w:pPr>
      <w:r>
        <w:rPr>
          <w:sz w:val="24"/>
        </w:rPr>
        <w:t xml:space="preserve">本企业对上述声明内容的真实性负责。如有虚假，将依法承担相应责任。</w:t>
      </w:r>
      <w:r/>
    </w:p>
    <w:p>
      <w:pPr>
        <w:ind w:firstLine="506"/>
        <w:spacing w:line="360" w:lineRule="auto"/>
        <w:rPr>
          <w:spacing w:val="6"/>
          <w:sz w:val="24"/>
        </w:rPr>
      </w:pPr>
      <w:r>
        <w:rPr>
          <w:spacing w:val="6"/>
          <w:sz w:val="24"/>
        </w:rPr>
      </w:r>
      <w:r/>
    </w:p>
    <w:p>
      <w:pPr>
        <w:ind w:firstLine="506"/>
        <w:spacing w:line="360" w:lineRule="auto"/>
        <w:rPr>
          <w:spacing w:val="6"/>
          <w:sz w:val="24"/>
        </w:rPr>
      </w:pPr>
      <w:r>
        <w:rPr>
          <w:spacing w:val="6"/>
          <w:sz w:val="24"/>
        </w:rPr>
      </w:r>
      <w:r/>
    </w:p>
    <w:p>
      <w:pPr>
        <w:ind w:right="360" w:firstLine="482"/>
        <w:jc w:val="right"/>
        <w:spacing w:line="360" w:lineRule="auto"/>
        <w:rPr>
          <w:color w:val="000000"/>
          <w:sz w:val="24"/>
        </w:rPr>
      </w:pPr>
      <w:r>
        <w:rPr>
          <w:color w:val="000000"/>
          <w:sz w:val="24"/>
        </w:rPr>
        <w:t xml:space="preserve">企业名称（加盖公章）：________</w:t>
      </w:r>
      <w:r/>
    </w:p>
    <w:p>
      <w:pPr>
        <w:ind w:right="360" w:firstLine="482"/>
        <w:jc w:val="right"/>
        <w:spacing w:line="360" w:lineRule="auto"/>
        <w:rPr>
          <w:color w:val="000000"/>
          <w:sz w:val="24"/>
        </w:rPr>
      </w:pPr>
      <w:r>
        <w:rPr>
          <w:color w:val="000000"/>
          <w:sz w:val="24"/>
        </w:rPr>
        <w:t xml:space="preserve">日 期：________</w:t>
      </w:r>
      <w:r/>
    </w:p>
    <w:p>
      <w:pPr>
        <w:ind w:right="360" w:firstLine="482"/>
        <w:jc w:val="right"/>
        <w:spacing w:line="360" w:lineRule="auto"/>
        <w:rPr>
          <w:color w:val="000000"/>
          <w:sz w:val="24"/>
        </w:rPr>
      </w:pPr>
      <w:r>
        <w:rPr>
          <w:color w:val="000000"/>
          <w:sz w:val="24"/>
        </w:rPr>
      </w:r>
      <w:r/>
    </w:p>
    <w:p>
      <w:pPr>
        <w:ind w:right="360" w:firstLine="482"/>
        <w:jc w:val="right"/>
        <w:spacing w:line="360" w:lineRule="auto"/>
        <w:rPr>
          <w:color w:val="000000"/>
          <w:sz w:val="24"/>
        </w:rPr>
      </w:pPr>
      <w:r>
        <w:rPr>
          <w:color w:val="000000"/>
          <w:sz w:val="24"/>
        </w:rPr>
      </w:r>
      <w:r/>
    </w:p>
    <w:tbl>
      <w:tblPr>
        <w:tblStyle w:val="89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ind w:firstLine="482"/>
              <w:jc w:val="left"/>
              <w:spacing w:line="360" w:lineRule="auto"/>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ind w:firstLine="482"/>
        <w:spacing w:line="480" w:lineRule="auto"/>
        <w:rPr>
          <w:rFonts w:ascii="宋体" w:hAnsi="宋体" w:cs="宋体"/>
          <w:color w:val="000000"/>
          <w:sz w:val="24"/>
          <w:szCs w:val="20"/>
        </w:rPr>
        <w:outlineLvl w:val="2"/>
      </w:pPr>
      <w:r>
        <w:rPr>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98"/>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2" w:name="_Toc288738839"/>
      <w:r/>
      <w:bookmarkStart w:id="883" w:name="_Toc288738397"/>
      <w:r>
        <w:rPr>
          <w:rFonts w:hint="eastAsia" w:ascii="宋体" w:hAnsi="宋体" w:cs="宋体"/>
          <w:color w:val="000000"/>
          <w:sz w:val="24"/>
          <w:szCs w:val="20"/>
        </w:rPr>
        <w:t xml:space="preserve">11相关业绩案例一览表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2"/>
      <w:r/>
      <w:bookmarkEnd w:id="883"/>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98"/>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12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right" w:y="1"/>
    </w:pPr>
    <w:r/>
    <w:r/>
  </w:p>
  <w:p>
    <w:pPr>
      <w:pStyle w:val="917"/>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jc w:val="right"/>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jc w:val="right"/>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1"/>
      <w:rPr>
        <w:rStyle w:val="934"/>
      </w:rPr>
      <w:framePr w:wrap="around" w:vAnchor="text" w:hAnchor="margin" w:xAlign="right" w:y="1"/>
    </w:pPr>
    <w:r>
      <w:rPr>
        <w:rStyle w:val="934"/>
      </w:rPr>
      <w:fldChar w:fldCharType="begin"/>
    </w:r>
    <w:r>
      <w:rPr>
        <w:rStyle w:val="934"/>
      </w:rPr>
      <w:instrText xml:space="preserve">PAGE  </w:instrText>
    </w:r>
    <w:r>
      <w:rPr>
        <w:rStyle w:val="934"/>
      </w:rPr>
      <w:fldChar w:fldCharType="end"/>
    </w:r>
    <w:r/>
  </w:p>
  <w:p>
    <w:pPr>
      <w:pStyle w:val="917"/>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Bdr>
        <w:bottom w:val="none" w:color="auto" w:sz="0" w:space="1"/>
      </w:pBdr>
    </w:pPr>
    <w:r>
      <w:rPr>
        <w:rFonts w:hint="eastAsia"/>
      </w:rPr>
      <w:t xml:space="preserve">常州正衡招投标有限公司公开招标文件</w:t>
    </w:r>
    <w:r/>
  </w:p>
  <w:p>
    <w:pPr>
      <w:pStyle w:val="91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right"/>
      <w:pBdr>
        <w:bottom w:val="none" w:color="auto" w:sz="0" w:space="1"/>
      </w:pBdr>
    </w:pPr>
    <w:r>
      <w:rPr>
        <w:rFonts w:hint="eastAsia"/>
      </w:rPr>
      <w:t xml:space="preserve">常州正衡招投标有限公司公开招标文件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07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04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9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2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2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3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4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1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99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096"/>
      <w:isLgl w:val="false"/>
      <w:suff w:val="tab"/>
      <w:lvlText w:val="%1"/>
      <w:lvlJc w:val="left"/>
      <w:pPr>
        <w:ind w:left="680" w:hanging="680"/>
      </w:pPr>
      <w:rPr>
        <w:rFonts w:hint="eastAsia" w:ascii="宋体" w:hAnsi="宋体" w:eastAsia="宋体"/>
      </w:rPr>
    </w:lvl>
    <w:lvl w:ilvl="1">
      <w:start w:val="1"/>
      <w:numFmt w:val="decimal"/>
      <w:pStyle w:val="1097"/>
      <w:isLgl w:val="false"/>
      <w:suff w:val="tab"/>
      <w:lvlText w:val="%1.%2"/>
      <w:lvlJc w:val="left"/>
      <w:pPr>
        <w:ind w:left="851" w:hanging="851"/>
      </w:pPr>
      <w:rPr>
        <w:rFonts w:hint="eastAsia" w:ascii="宋体" w:hAnsi="宋体" w:eastAsia="宋体"/>
        <w:color w:val="auto"/>
      </w:rPr>
    </w:lvl>
    <w:lvl w:ilvl="2">
      <w:start w:val="1"/>
      <w:numFmt w:val="decimal"/>
      <w:pStyle w:val="109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0"/>
  </w:num>
  <w:num w:numId="4">
    <w:abstractNumId w:val="4"/>
  </w:num>
  <w:num w:numId="5">
    <w:abstractNumId w:val="2"/>
  </w:num>
  <w:num w:numId="6">
    <w:abstractNumId w:val="1"/>
  </w:num>
  <w:num w:numId="7">
    <w:abstractNumId w:val="7"/>
  </w:num>
  <w:num w:numId="8">
    <w:abstractNumId w:val="5"/>
  </w:num>
  <w:num w:numId="9">
    <w:abstractNumId w:val="8"/>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7"/>
    <w:link w:val="888"/>
    <w:uiPriority w:val="9"/>
    <w:rPr>
      <w:rFonts w:ascii="Arial" w:hAnsi="Arial" w:eastAsia="Arial" w:cs="Arial"/>
      <w:sz w:val="40"/>
      <w:szCs w:val="40"/>
    </w:rPr>
  </w:style>
  <w:style w:type="character" w:styleId="15">
    <w:name w:val="Heading 2 Char"/>
    <w:basedOn w:val="897"/>
    <w:link w:val="889"/>
    <w:uiPriority w:val="9"/>
    <w:rPr>
      <w:rFonts w:ascii="Arial" w:hAnsi="Arial" w:eastAsia="Arial" w:cs="Arial"/>
      <w:sz w:val="34"/>
    </w:rPr>
  </w:style>
  <w:style w:type="character" w:styleId="17">
    <w:name w:val="Heading 3 Char"/>
    <w:basedOn w:val="897"/>
    <w:link w:val="890"/>
    <w:uiPriority w:val="9"/>
    <w:rPr>
      <w:rFonts w:ascii="Arial" w:hAnsi="Arial" w:eastAsia="Arial" w:cs="Arial"/>
      <w:sz w:val="30"/>
      <w:szCs w:val="30"/>
    </w:rPr>
  </w:style>
  <w:style w:type="character" w:styleId="19">
    <w:name w:val="Heading 4 Char"/>
    <w:basedOn w:val="897"/>
    <w:link w:val="891"/>
    <w:uiPriority w:val="9"/>
    <w:rPr>
      <w:rFonts w:ascii="Arial" w:hAnsi="Arial" w:eastAsia="Arial" w:cs="Arial"/>
      <w:b/>
      <w:bCs/>
      <w:sz w:val="26"/>
      <w:szCs w:val="26"/>
    </w:rPr>
  </w:style>
  <w:style w:type="character" w:styleId="21">
    <w:name w:val="Heading 5 Char"/>
    <w:basedOn w:val="897"/>
    <w:link w:val="892"/>
    <w:uiPriority w:val="9"/>
    <w:rPr>
      <w:rFonts w:ascii="Arial" w:hAnsi="Arial" w:eastAsia="Arial" w:cs="Arial"/>
      <w:b/>
      <w:bCs/>
      <w:sz w:val="24"/>
      <w:szCs w:val="24"/>
    </w:rPr>
  </w:style>
  <w:style w:type="character" w:styleId="23">
    <w:name w:val="Heading 6 Char"/>
    <w:basedOn w:val="897"/>
    <w:link w:val="893"/>
    <w:uiPriority w:val="9"/>
    <w:rPr>
      <w:rFonts w:ascii="Arial" w:hAnsi="Arial" w:eastAsia="Arial" w:cs="Arial"/>
      <w:b/>
      <w:bCs/>
      <w:sz w:val="22"/>
      <w:szCs w:val="22"/>
    </w:rPr>
  </w:style>
  <w:style w:type="character" w:styleId="25">
    <w:name w:val="Heading 7 Char"/>
    <w:basedOn w:val="897"/>
    <w:link w:val="894"/>
    <w:uiPriority w:val="9"/>
    <w:rPr>
      <w:rFonts w:ascii="Arial" w:hAnsi="Arial" w:eastAsia="Arial" w:cs="Arial"/>
      <w:b/>
      <w:bCs/>
      <w:i/>
      <w:iCs/>
      <w:sz w:val="22"/>
      <w:szCs w:val="22"/>
    </w:rPr>
  </w:style>
  <w:style w:type="character" w:styleId="27">
    <w:name w:val="Heading 8 Char"/>
    <w:basedOn w:val="897"/>
    <w:link w:val="895"/>
    <w:uiPriority w:val="9"/>
    <w:rPr>
      <w:rFonts w:ascii="Arial" w:hAnsi="Arial" w:eastAsia="Arial" w:cs="Arial"/>
      <w:i/>
      <w:iCs/>
      <w:sz w:val="22"/>
      <w:szCs w:val="22"/>
    </w:rPr>
  </w:style>
  <w:style w:type="character" w:styleId="29">
    <w:name w:val="Heading 9 Char"/>
    <w:basedOn w:val="897"/>
    <w:link w:val="896"/>
    <w:uiPriority w:val="9"/>
    <w:rPr>
      <w:rFonts w:ascii="Arial" w:hAnsi="Arial" w:eastAsia="Arial" w:cs="Arial"/>
      <w:i/>
      <w:iCs/>
      <w:sz w:val="21"/>
      <w:szCs w:val="21"/>
    </w:rPr>
  </w:style>
  <w:style w:type="character" w:styleId="34">
    <w:name w:val="Title Char"/>
    <w:basedOn w:val="897"/>
    <w:link w:val="928"/>
    <w:uiPriority w:val="10"/>
    <w:rPr>
      <w:sz w:val="48"/>
      <w:szCs w:val="48"/>
    </w:rPr>
  </w:style>
  <w:style w:type="paragraph" w:styleId="35">
    <w:name w:val="Subtitle"/>
    <w:basedOn w:val="887"/>
    <w:next w:val="887"/>
    <w:link w:val="36"/>
    <w:uiPriority w:val="11"/>
    <w:qFormat/>
    <w:pPr>
      <w:spacing w:before="200" w:after="200"/>
    </w:pPr>
    <w:rPr>
      <w:sz w:val="24"/>
      <w:szCs w:val="24"/>
    </w:rPr>
  </w:style>
  <w:style w:type="character" w:styleId="36">
    <w:name w:val="Subtitle Char"/>
    <w:basedOn w:val="897"/>
    <w:link w:val="35"/>
    <w:uiPriority w:val="11"/>
    <w:rPr>
      <w:sz w:val="24"/>
      <w:szCs w:val="24"/>
    </w:rPr>
  </w:style>
  <w:style w:type="paragraph" w:styleId="37">
    <w:name w:val="Quote"/>
    <w:basedOn w:val="887"/>
    <w:next w:val="887"/>
    <w:link w:val="38"/>
    <w:uiPriority w:val="29"/>
    <w:qFormat/>
    <w:pPr>
      <w:ind w:left="720" w:right="720"/>
    </w:pPr>
    <w:rPr>
      <w:i/>
    </w:rPr>
  </w:style>
  <w:style w:type="character" w:styleId="38">
    <w:name w:val="Quote Char"/>
    <w:link w:val="37"/>
    <w:uiPriority w:val="29"/>
    <w:rPr>
      <w:i/>
    </w:rPr>
  </w:style>
  <w:style w:type="paragraph" w:styleId="39">
    <w:name w:val="Intense Quote"/>
    <w:basedOn w:val="887"/>
    <w:next w:val="8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97"/>
    <w:link w:val="918"/>
    <w:uiPriority w:val="99"/>
  </w:style>
  <w:style w:type="character" w:styleId="44">
    <w:name w:val="Footer Char"/>
    <w:basedOn w:val="897"/>
    <w:link w:val="917"/>
    <w:uiPriority w:val="99"/>
  </w:style>
  <w:style w:type="character" w:styleId="46">
    <w:name w:val="Caption Char"/>
    <w:basedOn w:val="902"/>
    <w:link w:val="917"/>
    <w:uiPriority w:val="99"/>
  </w:style>
  <w:style w:type="table" w:styleId="48">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97"/>
    <w:uiPriority w:val="99"/>
    <w:unhideWhenUsed/>
    <w:rPr>
      <w:vertAlign w:val="superscript"/>
    </w:rPr>
  </w:style>
  <w:style w:type="paragraph" w:styleId="177">
    <w:name w:val="endnote text"/>
    <w:basedOn w:val="8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97"/>
    <w:uiPriority w:val="99"/>
    <w:semiHidden/>
    <w:unhideWhenUsed/>
    <w:rPr>
      <w:vertAlign w:val="superscript"/>
    </w:rPr>
  </w:style>
  <w:style w:type="paragraph" w:styleId="189">
    <w:name w:val="TOC Heading"/>
    <w:uiPriority w:val="39"/>
    <w:unhideWhenUsed/>
  </w:style>
  <w:style w:type="paragraph" w:styleId="190">
    <w:name w:val="table of figures"/>
    <w:basedOn w:val="887"/>
    <w:next w:val="887"/>
    <w:uiPriority w:val="99"/>
    <w:unhideWhenUsed/>
    <w:pPr>
      <w:spacing w:after="0" w:afterAutospacing="0"/>
    </w:pPr>
  </w:style>
  <w:style w:type="paragraph" w:styleId="887" w:default="1">
    <w:name w:val="Normal"/>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940"/>
    <w:uiPriority w:val="0"/>
    <w:qFormat/>
    <w:pPr>
      <w:jc w:val="center"/>
      <w:keepLines/>
      <w:keepNext/>
      <w:spacing w:before="240" w:after="120" w:line="300" w:lineRule="auto"/>
      <w:outlineLvl w:val="0"/>
    </w:pPr>
    <w:rPr>
      <w:rFonts w:ascii="宋体"/>
      <w:b/>
      <w:sz w:val="32"/>
      <w:szCs w:val="20"/>
    </w:rPr>
  </w:style>
  <w:style w:type="paragraph" w:styleId="889">
    <w:name w:val="Heading 2"/>
    <w:basedOn w:val="887"/>
    <w:next w:val="887"/>
    <w:link w:val="941"/>
    <w:uiPriority w:val="0"/>
    <w:qFormat/>
    <w:pPr>
      <w:jc w:val="center"/>
      <w:keepLines/>
      <w:keepNext/>
      <w:spacing w:before="120" w:line="300" w:lineRule="auto"/>
      <w:outlineLvl w:val="1"/>
    </w:pPr>
    <w:rPr>
      <w:rFonts w:ascii="Arial" w:hAnsi="Arial" w:eastAsia="黑体"/>
      <w:b/>
      <w:sz w:val="30"/>
      <w:szCs w:val="20"/>
    </w:rPr>
  </w:style>
  <w:style w:type="paragraph" w:styleId="890">
    <w:name w:val="Heading 3"/>
    <w:basedOn w:val="887"/>
    <w:next w:val="887"/>
    <w:link w:val="943"/>
    <w:uiPriority w:val="0"/>
    <w:qFormat/>
    <w:pPr>
      <w:jc w:val="left"/>
      <w:keepLines/>
      <w:keepNext/>
      <w:spacing w:before="360" w:after="120"/>
      <w:outlineLvl w:val="2"/>
    </w:pPr>
    <w:rPr>
      <w:rFonts w:ascii="宋体"/>
      <w:b/>
      <w:sz w:val="24"/>
      <w:szCs w:val="20"/>
      <w:u w:val="single"/>
    </w:rPr>
  </w:style>
  <w:style w:type="paragraph" w:styleId="891">
    <w:name w:val="Heading 4"/>
    <w:basedOn w:val="887"/>
    <w:next w:val="887"/>
    <w:link w:val="944"/>
    <w:uiPriority w:val="0"/>
    <w:qFormat/>
    <w:pPr>
      <w:keepLines/>
      <w:keepNext/>
      <w:spacing w:before="280" w:after="290" w:line="376" w:lineRule="atLeast"/>
      <w:outlineLvl w:val="3"/>
    </w:pPr>
    <w:rPr>
      <w:rFonts w:ascii="Arial" w:hAnsi="Arial" w:eastAsia="黑体"/>
      <w:b/>
      <w:sz w:val="28"/>
      <w:szCs w:val="20"/>
    </w:rPr>
  </w:style>
  <w:style w:type="paragraph" w:styleId="892">
    <w:name w:val="Heading 5"/>
    <w:basedOn w:val="887"/>
    <w:next w:val="887"/>
    <w:link w:val="945"/>
    <w:uiPriority w:val="0"/>
    <w:qFormat/>
    <w:pPr>
      <w:keepLines/>
      <w:keepNext/>
      <w:spacing w:before="280" w:after="290" w:line="376" w:lineRule="atLeast"/>
      <w:outlineLvl w:val="4"/>
    </w:pPr>
    <w:rPr>
      <w:b/>
      <w:sz w:val="28"/>
      <w:szCs w:val="20"/>
    </w:rPr>
  </w:style>
  <w:style w:type="paragraph" w:styleId="893">
    <w:name w:val="Heading 6"/>
    <w:basedOn w:val="887"/>
    <w:next w:val="887"/>
    <w:link w:val="946"/>
    <w:uiPriority w:val="0"/>
    <w:qFormat/>
    <w:pPr>
      <w:keepLines/>
      <w:keepNext/>
      <w:spacing w:before="240" w:after="64" w:line="320" w:lineRule="atLeast"/>
      <w:outlineLvl w:val="5"/>
    </w:pPr>
    <w:rPr>
      <w:rFonts w:ascii="Arial" w:hAnsi="Arial" w:eastAsia="黑体"/>
      <w:b/>
      <w:sz w:val="24"/>
      <w:szCs w:val="20"/>
    </w:rPr>
  </w:style>
  <w:style w:type="paragraph" w:styleId="894">
    <w:name w:val="Heading 7"/>
    <w:basedOn w:val="887"/>
    <w:next w:val="887"/>
    <w:link w:val="947"/>
    <w:uiPriority w:val="0"/>
    <w:qFormat/>
    <w:pPr>
      <w:keepLines/>
      <w:keepNext/>
      <w:spacing w:before="240" w:after="64" w:line="320" w:lineRule="atLeast"/>
      <w:outlineLvl w:val="6"/>
    </w:pPr>
    <w:rPr>
      <w:b/>
      <w:sz w:val="24"/>
      <w:szCs w:val="20"/>
    </w:rPr>
  </w:style>
  <w:style w:type="paragraph" w:styleId="895">
    <w:name w:val="Heading 8"/>
    <w:basedOn w:val="887"/>
    <w:next w:val="887"/>
    <w:link w:val="948"/>
    <w:uiPriority w:val="0"/>
    <w:qFormat/>
    <w:pPr>
      <w:keepLines/>
      <w:keepNext/>
      <w:spacing w:before="240" w:after="64" w:line="320" w:lineRule="atLeast"/>
      <w:outlineLvl w:val="7"/>
    </w:pPr>
    <w:rPr>
      <w:rFonts w:ascii="Arial" w:hAnsi="Arial" w:eastAsia="黑体"/>
      <w:sz w:val="24"/>
      <w:szCs w:val="20"/>
    </w:rPr>
  </w:style>
  <w:style w:type="paragraph" w:styleId="896">
    <w:name w:val="Heading 9"/>
    <w:basedOn w:val="887"/>
    <w:next w:val="887"/>
    <w:link w:val="949"/>
    <w:uiPriority w:val="0"/>
    <w:qFormat/>
    <w:pPr>
      <w:keepLines/>
      <w:keepNext/>
      <w:spacing w:before="240" w:after="64" w:line="320" w:lineRule="atLeast"/>
      <w:outlineLvl w:val="8"/>
    </w:pPr>
    <w:rPr>
      <w:rFonts w:ascii="Arial" w:hAnsi="Arial" w:eastAsia="黑体"/>
      <w:szCs w:val="20"/>
    </w:rPr>
  </w:style>
  <w:style w:type="character" w:styleId="897" w:default="1">
    <w:name w:val="Default Paragraph Font"/>
    <w:uiPriority w:val="1"/>
    <w:semiHidden/>
    <w:unhideWhenUsed/>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Note Heading"/>
    <w:basedOn w:val="887"/>
    <w:next w:val="887"/>
    <w:uiPriority w:val="0"/>
    <w:qFormat/>
    <w:rPr>
      <w:rFonts w:ascii="Verdana" w:hAnsi="Verdana"/>
      <w:szCs w:val="20"/>
    </w:rPr>
  </w:style>
  <w:style w:type="paragraph" w:styleId="900">
    <w:name w:val="toc 7"/>
    <w:basedOn w:val="887"/>
    <w:next w:val="887"/>
    <w:uiPriority w:val="0"/>
    <w:qFormat/>
    <w:pPr>
      <w:ind w:left="2520"/>
    </w:pPr>
  </w:style>
  <w:style w:type="paragraph" w:styleId="901">
    <w:name w:val="Normal Indent"/>
    <w:basedOn w:val="887"/>
    <w:next w:val="887"/>
    <w:link w:val="942"/>
    <w:uiPriority w:val="0"/>
    <w:qFormat/>
    <w:pPr>
      <w:ind w:firstLine="420"/>
      <w:jc w:val="left"/>
    </w:pPr>
    <w:rPr>
      <w:rFonts w:ascii="宋体"/>
      <w:sz w:val="24"/>
    </w:rPr>
  </w:style>
  <w:style w:type="paragraph" w:styleId="902">
    <w:name w:val="Caption"/>
    <w:basedOn w:val="887"/>
    <w:next w:val="887"/>
    <w:uiPriority w:val="0"/>
    <w:qFormat/>
    <w:pPr>
      <w:spacing w:line="480" w:lineRule="auto"/>
    </w:pPr>
    <w:rPr>
      <w:rFonts w:ascii="华文中宋" w:hAnsi="华文中宋" w:eastAsia="华文中宋"/>
      <w:sz w:val="36"/>
      <w:szCs w:val="20"/>
    </w:rPr>
  </w:style>
  <w:style w:type="paragraph" w:styleId="903">
    <w:name w:val="Document Map"/>
    <w:basedOn w:val="887"/>
    <w:link w:val="950"/>
    <w:uiPriority w:val="0"/>
    <w:qFormat/>
    <w:pPr>
      <w:shd w:val="clear" w:color="auto" w:fill="000080"/>
    </w:pPr>
  </w:style>
  <w:style w:type="paragraph" w:styleId="904">
    <w:name w:val="annotation text"/>
    <w:basedOn w:val="887"/>
    <w:link w:val="951"/>
    <w:uiPriority w:val="99"/>
    <w:qFormat/>
    <w:pPr>
      <w:jc w:val="left"/>
    </w:pPr>
  </w:style>
  <w:style w:type="paragraph" w:styleId="905">
    <w:name w:val="Body Text 3"/>
    <w:basedOn w:val="887"/>
    <w:link w:val="952"/>
    <w:uiPriority w:val="0"/>
    <w:qFormat/>
    <w:pPr>
      <w:spacing w:after="120"/>
    </w:pPr>
    <w:rPr>
      <w:sz w:val="16"/>
      <w:szCs w:val="16"/>
    </w:rPr>
  </w:style>
  <w:style w:type="paragraph" w:styleId="906">
    <w:name w:val="Body Text"/>
    <w:basedOn w:val="887"/>
    <w:next w:val="887"/>
    <w:link w:val="953"/>
    <w:uiPriority w:val="0"/>
    <w:qFormat/>
    <w:pPr>
      <w:spacing w:before="120" w:line="22" w:lineRule="atLeast"/>
      <w:tabs>
        <w:tab w:val="left" w:pos="567" w:leader="none"/>
      </w:tabs>
    </w:pPr>
    <w:rPr>
      <w:rFonts w:ascii="宋体" w:hAnsi="宋体"/>
      <w:sz w:val="24"/>
    </w:rPr>
  </w:style>
  <w:style w:type="paragraph" w:styleId="907">
    <w:name w:val="Body Text Indent"/>
    <w:basedOn w:val="887"/>
    <w:link w:val="954"/>
    <w:uiPriority w:val="0"/>
    <w:qFormat/>
    <w:pPr>
      <w:ind w:firstLine="570"/>
      <w:spacing w:line="360" w:lineRule="auto"/>
    </w:pPr>
    <w:rPr>
      <w:sz w:val="24"/>
    </w:rPr>
  </w:style>
  <w:style w:type="paragraph" w:styleId="908">
    <w:name w:val="List 2"/>
    <w:basedOn w:val="887"/>
    <w:uiPriority w:val="0"/>
    <w:qFormat/>
    <w:pPr>
      <w:ind w:left="100" w:hanging="200"/>
    </w:pPr>
  </w:style>
  <w:style w:type="paragraph" w:styleId="909">
    <w:name w:val="Block Text"/>
    <w:basedOn w:val="887"/>
    <w:uiPriority w:val="0"/>
    <w:qFormat/>
    <w:pPr>
      <w:ind w:left="480" w:right="-341" w:firstLine="513"/>
      <w:widowControl/>
    </w:pPr>
    <w:rPr>
      <w:sz w:val="24"/>
      <w:szCs w:val="20"/>
    </w:rPr>
  </w:style>
  <w:style w:type="paragraph" w:styleId="910">
    <w:name w:val="toc 5"/>
    <w:basedOn w:val="887"/>
    <w:next w:val="887"/>
    <w:uiPriority w:val="0"/>
    <w:qFormat/>
    <w:pPr>
      <w:ind w:left="1680"/>
    </w:pPr>
  </w:style>
  <w:style w:type="paragraph" w:styleId="911">
    <w:name w:val="toc 3"/>
    <w:basedOn w:val="887"/>
    <w:next w:val="887"/>
    <w:uiPriority w:val="39"/>
    <w:qFormat/>
    <w:pPr>
      <w:ind w:left="840"/>
    </w:pPr>
  </w:style>
  <w:style w:type="paragraph" w:styleId="912">
    <w:name w:val="Plain Text"/>
    <w:basedOn w:val="887"/>
    <w:next w:val="901"/>
    <w:link w:val="955"/>
    <w:uiPriority w:val="0"/>
    <w:qFormat/>
    <w:rPr>
      <w:rFonts w:hint="eastAsia" w:ascii="宋体" w:hAnsi="Courier New"/>
      <w:szCs w:val="20"/>
    </w:rPr>
  </w:style>
  <w:style w:type="paragraph" w:styleId="913">
    <w:name w:val="toc 8"/>
    <w:basedOn w:val="887"/>
    <w:next w:val="887"/>
    <w:uiPriority w:val="0"/>
    <w:qFormat/>
    <w:pPr>
      <w:ind w:left="2940"/>
    </w:pPr>
  </w:style>
  <w:style w:type="paragraph" w:styleId="914">
    <w:name w:val="Date"/>
    <w:basedOn w:val="887"/>
    <w:next w:val="887"/>
    <w:link w:val="956"/>
    <w:uiPriority w:val="0"/>
    <w:qFormat/>
    <w:pPr>
      <w:ind w:left="100"/>
    </w:pPr>
    <w:rPr>
      <w:rFonts w:ascii="仿宋_GB2312" w:hAnsi="宋体" w:eastAsia="仿宋_GB2312"/>
      <w:color w:val="000000"/>
      <w:sz w:val="24"/>
    </w:rPr>
  </w:style>
  <w:style w:type="paragraph" w:styleId="915">
    <w:name w:val="Body Text Indent 2"/>
    <w:basedOn w:val="887"/>
    <w:link w:val="957"/>
    <w:uiPriority w:val="0"/>
    <w:qFormat/>
    <w:pPr>
      <w:ind w:firstLine="480"/>
    </w:pPr>
    <w:rPr>
      <w:rFonts w:ascii="仿宋_GB2312" w:eastAsia="仿宋_GB2312"/>
      <w:sz w:val="24"/>
    </w:rPr>
  </w:style>
  <w:style w:type="paragraph" w:styleId="916">
    <w:name w:val="Balloon Text"/>
    <w:basedOn w:val="887"/>
    <w:link w:val="958"/>
    <w:uiPriority w:val="0"/>
    <w:qFormat/>
    <w:rPr>
      <w:sz w:val="18"/>
      <w:szCs w:val="18"/>
    </w:rPr>
  </w:style>
  <w:style w:type="paragraph" w:styleId="917">
    <w:name w:val="Footer"/>
    <w:basedOn w:val="887"/>
    <w:link w:val="959"/>
    <w:uiPriority w:val="99"/>
    <w:qFormat/>
    <w:pPr>
      <w:jc w:val="left"/>
      <w:tabs>
        <w:tab w:val="center" w:pos="4153" w:leader="none"/>
        <w:tab w:val="right" w:pos="8306" w:leader="none"/>
      </w:tabs>
    </w:pPr>
    <w:rPr>
      <w:rFonts w:ascii="宋体"/>
      <w:sz w:val="18"/>
      <w:szCs w:val="20"/>
    </w:rPr>
  </w:style>
  <w:style w:type="paragraph" w:styleId="918">
    <w:name w:val="Header"/>
    <w:basedOn w:val="887"/>
    <w:link w:val="960"/>
    <w:uiPriority w:val="0"/>
    <w:qFormat/>
    <w:pPr>
      <w:jc w:val="center"/>
      <w:tabs>
        <w:tab w:val="center" w:pos="4153" w:leader="none"/>
        <w:tab w:val="right" w:pos="8306" w:leader="none"/>
      </w:tabs>
      <w:pBdr>
        <w:bottom w:val="single" w:color="auto" w:sz="6" w:space="1"/>
      </w:pBdr>
    </w:pPr>
    <w:rPr>
      <w:sz w:val="18"/>
      <w:szCs w:val="18"/>
    </w:rPr>
  </w:style>
  <w:style w:type="paragraph" w:styleId="919">
    <w:name w:val="toc 1"/>
    <w:basedOn w:val="887"/>
    <w:next w:val="887"/>
    <w:uiPriority w:val="39"/>
    <w:qFormat/>
    <w:pPr>
      <w:spacing w:line="300" w:lineRule="auto"/>
      <w:tabs>
        <w:tab w:val="left" w:pos="1050" w:leader="none"/>
        <w:tab w:val="right" w:pos="8937" w:leader="dot"/>
      </w:tabs>
    </w:pPr>
    <w:rPr>
      <w:rFonts w:ascii="宋体" w:hAnsi="宋体"/>
      <w:b/>
      <w:sz w:val="24"/>
    </w:rPr>
  </w:style>
  <w:style w:type="paragraph" w:styleId="920">
    <w:name w:val="toc 4"/>
    <w:basedOn w:val="887"/>
    <w:next w:val="887"/>
    <w:uiPriority w:val="0"/>
    <w:qFormat/>
    <w:pPr>
      <w:ind w:left="1260"/>
    </w:pPr>
  </w:style>
  <w:style w:type="paragraph" w:styleId="921">
    <w:name w:val="toc 6"/>
    <w:basedOn w:val="887"/>
    <w:next w:val="887"/>
    <w:uiPriority w:val="0"/>
    <w:qFormat/>
    <w:pPr>
      <w:ind w:left="2100"/>
    </w:pPr>
  </w:style>
  <w:style w:type="paragraph" w:styleId="922">
    <w:name w:val="Body Text Indent 3"/>
    <w:basedOn w:val="887"/>
    <w:link w:val="961"/>
    <w:uiPriority w:val="0"/>
    <w:qFormat/>
    <w:pPr>
      <w:ind w:left="720" w:firstLine="480"/>
      <w:jc w:val="left"/>
      <w:spacing w:before="120" w:line="22" w:lineRule="atLeast"/>
    </w:pPr>
    <w:rPr>
      <w:rFonts w:ascii="宋体"/>
      <w:sz w:val="24"/>
      <w:szCs w:val="20"/>
    </w:rPr>
  </w:style>
  <w:style w:type="paragraph" w:styleId="923">
    <w:name w:val="toc 2"/>
    <w:basedOn w:val="887"/>
    <w:next w:val="887"/>
    <w:uiPriority w:val="39"/>
    <w:qFormat/>
    <w:pPr>
      <w:ind w:left="420"/>
      <w:spacing w:line="312" w:lineRule="auto"/>
      <w:tabs>
        <w:tab w:val="right" w:pos="8937" w:leader="dot"/>
      </w:tabs>
    </w:pPr>
  </w:style>
  <w:style w:type="paragraph" w:styleId="924">
    <w:name w:val="toc 9"/>
    <w:basedOn w:val="887"/>
    <w:next w:val="887"/>
    <w:uiPriority w:val="0"/>
    <w:qFormat/>
    <w:pPr>
      <w:ind w:left="3360"/>
    </w:pPr>
  </w:style>
  <w:style w:type="paragraph" w:styleId="925">
    <w:name w:val="HTML Preformatted"/>
    <w:basedOn w:val="887"/>
    <w:link w:val="9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6">
    <w:name w:val="Normal (Web)"/>
    <w:basedOn w:val="887"/>
    <w:uiPriority w:val="99"/>
    <w:unhideWhenUsed/>
    <w:qFormat/>
    <w:pPr>
      <w:jc w:val="left"/>
      <w:spacing w:before="100" w:beforeAutospacing="1" w:after="100" w:afterAutospacing="1"/>
      <w:widowControl/>
    </w:pPr>
    <w:rPr>
      <w:rFonts w:ascii="宋体" w:hAnsi="宋体" w:cs="宋体"/>
      <w:sz w:val="24"/>
    </w:rPr>
  </w:style>
  <w:style w:type="paragraph" w:styleId="927">
    <w:name w:val="index 1"/>
    <w:basedOn w:val="887"/>
    <w:next w:val="887"/>
    <w:uiPriority w:val="0"/>
    <w:qFormat/>
    <w:rPr>
      <w:szCs w:val="20"/>
    </w:rPr>
  </w:style>
  <w:style w:type="paragraph" w:styleId="928">
    <w:name w:val="Title"/>
    <w:basedOn w:val="887"/>
    <w:next w:val="887"/>
    <w:link w:val="963"/>
    <w:uiPriority w:val="0"/>
    <w:qFormat/>
    <w:pPr>
      <w:jc w:val="center"/>
      <w:outlineLvl w:val="0"/>
    </w:pPr>
    <w:rPr>
      <w:b/>
      <w:sz w:val="32"/>
      <w:szCs w:val="20"/>
    </w:rPr>
  </w:style>
  <w:style w:type="paragraph" w:styleId="929">
    <w:name w:val="annotation subject"/>
    <w:basedOn w:val="904"/>
    <w:next w:val="904"/>
    <w:link w:val="964"/>
    <w:uiPriority w:val="0"/>
    <w:qFormat/>
    <w:rPr>
      <w:b/>
      <w:bCs/>
    </w:rPr>
  </w:style>
  <w:style w:type="paragraph" w:styleId="930">
    <w:name w:val="Body Text First Indent 2"/>
    <w:basedOn w:val="907"/>
    <w:next w:val="887"/>
    <w:link w:val="965"/>
    <w:uiPriority w:val="0"/>
    <w:qFormat/>
    <w:pPr>
      <w:ind w:left="420" w:firstLine="420"/>
      <w:spacing w:after="120" w:line="480" w:lineRule="exact"/>
    </w:pPr>
    <w:rPr>
      <w:szCs w:val="20"/>
    </w:rPr>
  </w:style>
  <w:style w:type="table" w:styleId="931">
    <w:name w:val="Table Grid"/>
    <w:basedOn w:val="89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2">
    <w:name w:val="Medium Grid 1 Accent 2"/>
    <w:basedOn w:val="898"/>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3">
    <w:name w:val="Strong"/>
    <w:uiPriority w:val="0"/>
    <w:qFormat/>
    <w:rPr>
      <w:b/>
      <w:bCs/>
    </w:rPr>
  </w:style>
  <w:style w:type="character" w:styleId="934">
    <w:name w:val="page number"/>
    <w:uiPriority w:val="0"/>
    <w:qFormat/>
  </w:style>
  <w:style w:type="character" w:styleId="935">
    <w:name w:val="FollowedHyperlink"/>
    <w:uiPriority w:val="0"/>
    <w:qFormat/>
    <w:rPr>
      <w:color w:val="800080"/>
      <w:u w:val="single"/>
    </w:rPr>
  </w:style>
  <w:style w:type="character" w:styleId="936">
    <w:name w:val="Emphasis"/>
    <w:uiPriority w:val="0"/>
    <w:qFormat/>
    <w:rPr>
      <w:color w:val="cc0033"/>
    </w:rPr>
  </w:style>
  <w:style w:type="character" w:styleId="937">
    <w:name w:val="Hyperlink"/>
    <w:uiPriority w:val="99"/>
    <w:qFormat/>
    <w:rPr>
      <w:color w:val="0000ff"/>
      <w:u w:val="single"/>
    </w:rPr>
  </w:style>
  <w:style w:type="character" w:styleId="938">
    <w:name w:val="annotation reference"/>
    <w:uiPriority w:val="99"/>
    <w:qFormat/>
    <w:rPr>
      <w:sz w:val="21"/>
      <w:szCs w:val="21"/>
    </w:rPr>
  </w:style>
  <w:style w:type="character" w:styleId="939">
    <w:name w:val="HTML Cite"/>
    <w:uiPriority w:val="0"/>
    <w:qFormat/>
    <w:rPr>
      <w:i/>
      <w:iCs/>
    </w:rPr>
  </w:style>
  <w:style w:type="character" w:styleId="940" w:customStyle="1">
    <w:name w:val="标题 1 字符"/>
    <w:link w:val="888"/>
    <w:uiPriority w:val="0"/>
    <w:qFormat/>
    <w:rPr>
      <w:rFonts w:ascii="宋体"/>
      <w:b/>
      <w:sz w:val="32"/>
    </w:rPr>
  </w:style>
  <w:style w:type="character" w:styleId="941" w:customStyle="1">
    <w:name w:val="标题 2 字符"/>
    <w:link w:val="889"/>
    <w:uiPriority w:val="0"/>
    <w:qFormat/>
    <w:rPr>
      <w:rFonts w:ascii="Arial" w:hAnsi="Arial" w:eastAsia="黑体"/>
      <w:b/>
      <w:sz w:val="30"/>
      <w:lang w:val="en-US" w:eastAsia="zh-CN" w:bidi="ar-SA"/>
    </w:rPr>
  </w:style>
  <w:style w:type="character" w:styleId="942" w:customStyle="1">
    <w:name w:val="正文缩进 字符"/>
    <w:link w:val="901"/>
    <w:uiPriority w:val="0"/>
    <w:qFormat/>
    <w:rPr>
      <w:rFonts w:ascii="宋体" w:eastAsia="宋体"/>
      <w:sz w:val="24"/>
      <w:szCs w:val="24"/>
      <w:lang w:val="en-US" w:eastAsia="zh-CN" w:bidi="ar-SA"/>
    </w:rPr>
  </w:style>
  <w:style w:type="character" w:styleId="943" w:customStyle="1">
    <w:name w:val="标题 3 字符"/>
    <w:link w:val="890"/>
    <w:uiPriority w:val="0"/>
    <w:qFormat/>
    <w:rPr>
      <w:rFonts w:ascii="宋体" w:eastAsia="宋体"/>
      <w:b/>
      <w:sz w:val="24"/>
      <w:u w:val="single"/>
      <w:lang w:val="en-US" w:eastAsia="zh-CN" w:bidi="ar-SA"/>
    </w:rPr>
  </w:style>
  <w:style w:type="character" w:styleId="944" w:customStyle="1">
    <w:name w:val="标题 4 字符"/>
    <w:link w:val="891"/>
    <w:uiPriority w:val="0"/>
    <w:qFormat/>
    <w:rPr>
      <w:rFonts w:ascii="Arial" w:hAnsi="Arial" w:eastAsia="黑体"/>
      <w:b/>
      <w:sz w:val="28"/>
    </w:rPr>
  </w:style>
  <w:style w:type="character" w:styleId="945" w:customStyle="1">
    <w:name w:val="标题 5 字符"/>
    <w:link w:val="892"/>
    <w:uiPriority w:val="0"/>
    <w:qFormat/>
    <w:rPr>
      <w:b/>
      <w:sz w:val="28"/>
    </w:rPr>
  </w:style>
  <w:style w:type="character" w:styleId="946" w:customStyle="1">
    <w:name w:val="标题 6 字符"/>
    <w:link w:val="893"/>
    <w:uiPriority w:val="0"/>
    <w:qFormat/>
    <w:rPr>
      <w:rFonts w:ascii="Arial" w:hAnsi="Arial" w:eastAsia="黑体"/>
      <w:b/>
      <w:sz w:val="24"/>
    </w:rPr>
  </w:style>
  <w:style w:type="character" w:styleId="947" w:customStyle="1">
    <w:name w:val="标题 7 字符"/>
    <w:link w:val="894"/>
    <w:uiPriority w:val="0"/>
    <w:qFormat/>
    <w:rPr>
      <w:b/>
      <w:sz w:val="24"/>
    </w:rPr>
  </w:style>
  <w:style w:type="character" w:styleId="948" w:customStyle="1">
    <w:name w:val="标题 8 字符"/>
    <w:link w:val="895"/>
    <w:uiPriority w:val="0"/>
    <w:qFormat/>
    <w:rPr>
      <w:rFonts w:ascii="Arial" w:hAnsi="Arial" w:eastAsia="黑体"/>
      <w:sz w:val="24"/>
    </w:rPr>
  </w:style>
  <w:style w:type="character" w:styleId="949" w:customStyle="1">
    <w:name w:val="标题 9 字符"/>
    <w:link w:val="896"/>
    <w:uiPriority w:val="0"/>
    <w:qFormat/>
    <w:rPr>
      <w:rFonts w:ascii="Arial" w:hAnsi="Arial" w:eastAsia="黑体"/>
      <w:sz w:val="21"/>
    </w:rPr>
  </w:style>
  <w:style w:type="character" w:styleId="950" w:customStyle="1">
    <w:name w:val="文档结构图 字符"/>
    <w:link w:val="903"/>
    <w:uiPriority w:val="0"/>
    <w:qFormat/>
    <w:rPr>
      <w:sz w:val="21"/>
      <w:szCs w:val="24"/>
      <w:shd w:val="clear" w:color="auto" w:fill="000080"/>
    </w:rPr>
  </w:style>
  <w:style w:type="character" w:styleId="951" w:customStyle="1">
    <w:name w:val="批注文字 字符1"/>
    <w:link w:val="904"/>
    <w:uiPriority w:val="99"/>
    <w:qFormat/>
    <w:rPr>
      <w:sz w:val="21"/>
      <w:szCs w:val="24"/>
    </w:rPr>
  </w:style>
  <w:style w:type="character" w:styleId="952" w:customStyle="1">
    <w:name w:val="正文文本 3 字符"/>
    <w:link w:val="905"/>
    <w:uiPriority w:val="0"/>
    <w:qFormat/>
    <w:rPr>
      <w:sz w:val="16"/>
      <w:szCs w:val="16"/>
    </w:rPr>
  </w:style>
  <w:style w:type="character" w:styleId="953" w:customStyle="1">
    <w:name w:val="正文文本 字符"/>
    <w:link w:val="906"/>
    <w:uiPriority w:val="0"/>
    <w:qFormat/>
    <w:rPr>
      <w:rFonts w:ascii="宋体" w:hAnsi="宋体"/>
      <w:sz w:val="24"/>
      <w:szCs w:val="24"/>
    </w:rPr>
  </w:style>
  <w:style w:type="character" w:styleId="954" w:customStyle="1">
    <w:name w:val="正文文本缩进 字符"/>
    <w:link w:val="907"/>
    <w:uiPriority w:val="0"/>
    <w:qFormat/>
    <w:rPr>
      <w:rFonts w:eastAsia="宋体"/>
      <w:sz w:val="24"/>
      <w:szCs w:val="24"/>
      <w:lang w:val="en-US" w:eastAsia="zh-CN" w:bidi="ar-SA"/>
    </w:rPr>
  </w:style>
  <w:style w:type="character" w:styleId="955" w:customStyle="1">
    <w:name w:val="纯文本 字符2"/>
    <w:link w:val="912"/>
    <w:uiPriority w:val="0"/>
    <w:qFormat/>
    <w:rPr>
      <w:rFonts w:hint="eastAsia" w:ascii="宋体" w:hAnsi="Courier New" w:eastAsia="宋体" w:cs="宋体"/>
      <w:sz w:val="21"/>
    </w:rPr>
  </w:style>
  <w:style w:type="character" w:styleId="956" w:customStyle="1">
    <w:name w:val="日期 字符"/>
    <w:link w:val="914"/>
    <w:uiPriority w:val="0"/>
    <w:qFormat/>
    <w:rPr>
      <w:rFonts w:ascii="仿宋_GB2312" w:hAnsi="宋体" w:eastAsia="仿宋_GB2312"/>
      <w:color w:val="000000"/>
      <w:sz w:val="24"/>
      <w:szCs w:val="24"/>
    </w:rPr>
  </w:style>
  <w:style w:type="character" w:styleId="957" w:customStyle="1">
    <w:name w:val="正文文本缩进 2 字符"/>
    <w:link w:val="915"/>
    <w:uiPriority w:val="0"/>
    <w:qFormat/>
    <w:rPr>
      <w:rFonts w:ascii="仿宋_GB2312" w:eastAsia="仿宋_GB2312"/>
      <w:sz w:val="24"/>
      <w:szCs w:val="24"/>
    </w:rPr>
  </w:style>
  <w:style w:type="character" w:styleId="958" w:customStyle="1">
    <w:name w:val="批注框文本 字符"/>
    <w:link w:val="916"/>
    <w:uiPriority w:val="0"/>
    <w:qFormat/>
    <w:rPr>
      <w:sz w:val="18"/>
      <w:szCs w:val="18"/>
    </w:rPr>
  </w:style>
  <w:style w:type="character" w:styleId="959" w:customStyle="1">
    <w:name w:val="页脚 字符"/>
    <w:link w:val="917"/>
    <w:uiPriority w:val="99"/>
    <w:qFormat/>
    <w:rPr>
      <w:rFonts w:ascii="宋体" w:eastAsia="宋体"/>
      <w:sz w:val="18"/>
      <w:lang w:val="en-US" w:eastAsia="zh-CN" w:bidi="ar-SA"/>
    </w:rPr>
  </w:style>
  <w:style w:type="character" w:styleId="960" w:customStyle="1">
    <w:name w:val="页眉 字符"/>
    <w:link w:val="918"/>
    <w:uiPriority w:val="0"/>
    <w:qFormat/>
    <w:rPr>
      <w:rFonts w:eastAsia="宋体"/>
      <w:sz w:val="18"/>
      <w:szCs w:val="18"/>
      <w:lang w:val="en-US" w:eastAsia="zh-CN" w:bidi="ar-SA"/>
    </w:rPr>
  </w:style>
  <w:style w:type="character" w:styleId="961" w:customStyle="1">
    <w:name w:val="正文文本缩进 3 字符"/>
    <w:link w:val="922"/>
    <w:uiPriority w:val="0"/>
    <w:qFormat/>
    <w:rPr>
      <w:rFonts w:ascii="宋体"/>
      <w:sz w:val="24"/>
    </w:rPr>
  </w:style>
  <w:style w:type="character" w:styleId="962" w:customStyle="1">
    <w:name w:val="HTML 预设格式 字符"/>
    <w:link w:val="925"/>
    <w:uiPriority w:val="0"/>
    <w:qFormat/>
    <w:rPr>
      <w:rFonts w:ascii="宋体" w:hAnsi="宋体" w:cs="宋体"/>
      <w:sz w:val="24"/>
      <w:szCs w:val="24"/>
    </w:rPr>
  </w:style>
  <w:style w:type="character" w:styleId="963" w:customStyle="1">
    <w:name w:val="标题 字符"/>
    <w:link w:val="928"/>
    <w:uiPriority w:val="0"/>
    <w:qFormat/>
    <w:rPr>
      <w:b/>
      <w:sz w:val="32"/>
    </w:rPr>
  </w:style>
  <w:style w:type="character" w:styleId="964" w:customStyle="1">
    <w:name w:val="批注主题 字符"/>
    <w:link w:val="929"/>
    <w:uiPriority w:val="0"/>
    <w:qFormat/>
    <w:rPr>
      <w:rFonts w:ascii="Times New Roman" w:hAnsi="Times New Roman" w:eastAsia="宋体" w:cs="Times New Roman"/>
      <w:b/>
      <w:bCs/>
      <w:sz w:val="21"/>
      <w:szCs w:val="24"/>
      <w:lang w:val="en-US" w:eastAsia="zh-CN" w:bidi="ar-SA"/>
    </w:rPr>
  </w:style>
  <w:style w:type="character" w:styleId="965" w:customStyle="1">
    <w:name w:val="正文首行缩进 2 字符"/>
    <w:link w:val="930"/>
    <w:uiPriority w:val="0"/>
    <w:qFormat/>
    <w:rPr>
      <w:rFonts w:eastAsia="宋体"/>
      <w:sz w:val="24"/>
      <w:szCs w:val="24"/>
      <w:lang w:val="en-US" w:eastAsia="zh-CN" w:bidi="ar-SA"/>
    </w:rPr>
  </w:style>
  <w:style w:type="character" w:styleId="966" w:customStyle="1">
    <w:name w:val="批注文字 字符"/>
    <w:uiPriority w:val="99"/>
    <w:qFormat/>
    <w:rPr>
      <w:rFonts w:ascii="Times New Roman" w:hAnsi="Times New Roman" w:eastAsia="宋体" w:cs="Times New Roman"/>
      <w:sz w:val="24"/>
      <w:lang w:val="en-US" w:eastAsia="zh-CN" w:bidi="ar-SA"/>
    </w:rPr>
  </w:style>
  <w:style w:type="paragraph" w:styleId="967"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68" w:customStyle="1">
    <w:name w:val="c21"/>
    <w:uiPriority w:val="0"/>
    <w:qFormat/>
    <w:rPr>
      <w:rFonts w:hint="default" w:ascii="ˎ̥" w:hAnsi="ˎ̥"/>
      <w:color w:val="000000"/>
      <w:sz w:val="20"/>
      <w:szCs w:val="20"/>
      <w:u w:val="none"/>
    </w:rPr>
  </w:style>
  <w:style w:type="character" w:styleId="969" w:customStyle="1">
    <w:name w:val="title4"/>
    <w:uiPriority w:val="0"/>
    <w:qFormat/>
    <w:rPr>
      <w:b/>
      <w:bCs/>
      <w:color w:val="1d87b3"/>
      <w:sz w:val="15"/>
      <w:szCs w:val="15"/>
    </w:rPr>
  </w:style>
  <w:style w:type="character" w:styleId="970" w:customStyle="1">
    <w:name w:val="标题 2 Char Char"/>
    <w:uiPriority w:val="0"/>
    <w:qFormat/>
    <w:rPr>
      <w:rFonts w:ascii="Arial" w:hAnsi="Arial" w:eastAsia="黑体"/>
      <w:b/>
      <w:bCs/>
      <w:sz w:val="32"/>
      <w:szCs w:val="32"/>
      <w:lang w:val="en-US" w:eastAsia="zh-CN" w:bidi="ar-SA"/>
    </w:rPr>
  </w:style>
  <w:style w:type="character" w:styleId="971" w:customStyle="1">
    <w:name w:val="black1"/>
    <w:uiPriority w:val="0"/>
    <w:qFormat/>
    <w:rPr>
      <w:color w:val="000000"/>
    </w:rPr>
  </w:style>
  <w:style w:type="character" w:styleId="972" w:customStyle="1">
    <w:name w:val="street-address"/>
    <w:uiPriority w:val="0"/>
    <w:qFormat/>
  </w:style>
  <w:style w:type="character" w:styleId="973" w:customStyle="1">
    <w:name w:val="locality"/>
    <w:uiPriority w:val="0"/>
    <w:qFormat/>
  </w:style>
  <w:style w:type="character" w:styleId="974" w:customStyle="1">
    <w:name w:val="正文文本缩进 Char1"/>
    <w:link w:val="975"/>
    <w:uiPriority w:val="0"/>
    <w:qFormat/>
    <w:rPr>
      <w:rFonts w:ascii="宋体" w:hAnsi="宋体" w:eastAsia="宋体"/>
      <w:sz w:val="24"/>
      <w:szCs w:val="24"/>
      <w:lang w:bidi="ar-SA"/>
    </w:rPr>
  </w:style>
  <w:style w:type="paragraph" w:styleId="975" w:customStyle="1">
    <w:name w:val="正文文本缩进1"/>
    <w:basedOn w:val="887"/>
    <w:link w:val="974"/>
    <w:uiPriority w:val="0"/>
    <w:qFormat/>
    <w:pPr>
      <w:ind w:firstLine="480"/>
      <w:spacing w:line="480" w:lineRule="exact"/>
    </w:pPr>
    <w:rPr>
      <w:rFonts w:ascii="宋体" w:hAnsi="宋体"/>
      <w:sz w:val="24"/>
    </w:rPr>
  </w:style>
  <w:style w:type="character" w:styleId="976" w:customStyle="1">
    <w:name w:val="Char Char11"/>
    <w:uiPriority w:val="0"/>
    <w:qFormat/>
    <w:rPr>
      <w:rFonts w:ascii="宋体" w:eastAsia="宋体"/>
      <w:b/>
      <w:sz w:val="24"/>
      <w:u w:val="single"/>
      <w:lang w:val="en-US" w:eastAsia="zh-CN" w:bidi="ar-SA"/>
    </w:rPr>
  </w:style>
  <w:style w:type="character" w:styleId="977" w:customStyle="1">
    <w:name w:val="txt"/>
    <w:uiPriority w:val="0"/>
    <w:qFormat/>
  </w:style>
  <w:style w:type="character" w:styleId="978" w:customStyle="1">
    <w:name w:val="正文缩进 Char Char"/>
    <w:link w:val="979"/>
    <w:uiPriority w:val="0"/>
    <w:qFormat/>
    <w:rPr>
      <w:rFonts w:ascii="宋体" w:eastAsia="宋体"/>
      <w:color w:val="000000"/>
      <w:sz w:val="28"/>
      <w:lang w:bidi="ar-SA"/>
    </w:rPr>
  </w:style>
  <w:style w:type="paragraph" w:styleId="979" w:customStyle="1">
    <w:name w:val="正文缩进1"/>
    <w:basedOn w:val="887"/>
    <w:link w:val="978"/>
    <w:uiPriority w:val="0"/>
    <w:qFormat/>
    <w:pPr>
      <w:ind w:firstLine="567"/>
      <w:spacing w:line="480" w:lineRule="exact"/>
      <w:widowControl/>
    </w:pPr>
    <w:rPr>
      <w:rFonts w:ascii="宋体"/>
      <w:color w:val="000000"/>
      <w:sz w:val="28"/>
      <w:szCs w:val="20"/>
    </w:rPr>
  </w:style>
  <w:style w:type="character" w:styleId="980" w:customStyle="1">
    <w:name w:val="普通文字1 Char1"/>
    <w:uiPriority w:val="0"/>
    <w:qFormat/>
    <w:rPr>
      <w:rFonts w:ascii="宋体" w:hAnsi="Courier New" w:eastAsia="宋体"/>
      <w:sz w:val="21"/>
      <w:lang w:val="en-US" w:eastAsia="zh-CN" w:bidi="ar-SA"/>
    </w:rPr>
  </w:style>
  <w:style w:type="character" w:styleId="981" w:customStyle="1">
    <w:name w:val="chanpin1"/>
    <w:uiPriority w:val="0"/>
    <w:qFormat/>
    <w:rPr>
      <w:rFonts w:hint="default" w:ascii="ˎ̥" w:hAnsi="ˎ̥"/>
      <w:color w:val="000000"/>
      <w:sz w:val="20"/>
      <w:szCs w:val="20"/>
      <w:u w:val="none"/>
    </w:rPr>
  </w:style>
  <w:style w:type="character" w:styleId="982" w:customStyle="1">
    <w:name w:val="列出段落 字符"/>
    <w:link w:val="983"/>
    <w:uiPriority w:val="34"/>
    <w:qFormat/>
    <w:rPr>
      <w:rFonts w:ascii="Calibri" w:hAnsi="Calibri" w:eastAsia="宋体"/>
      <w:sz w:val="21"/>
      <w:szCs w:val="22"/>
      <w:lang w:val="en-US" w:eastAsia="zh-CN" w:bidi="ar-SA"/>
    </w:rPr>
  </w:style>
  <w:style w:type="paragraph" w:styleId="983">
    <w:name w:val="List Paragraph"/>
    <w:basedOn w:val="887"/>
    <w:link w:val="982"/>
    <w:uiPriority w:val="34"/>
    <w:qFormat/>
    <w:pPr>
      <w:ind w:firstLine="420"/>
    </w:pPr>
    <w:rPr>
      <w:rFonts w:ascii="Calibri" w:hAnsi="Calibri"/>
      <w:szCs w:val="22"/>
    </w:rPr>
  </w:style>
  <w:style w:type="character" w:styleId="984" w:customStyle="1">
    <w:name w:val="标题 3 Char Char"/>
    <w:uiPriority w:val="0"/>
    <w:qFormat/>
    <w:rPr>
      <w:rFonts w:eastAsia="宋体"/>
      <w:b/>
      <w:bCs/>
      <w:sz w:val="32"/>
      <w:szCs w:val="32"/>
      <w:lang w:val="en-US" w:eastAsia="zh-CN" w:bidi="ar-SA"/>
    </w:rPr>
  </w:style>
  <w:style w:type="character" w:styleId="985" w:customStyle="1">
    <w:name w:val="段1 Char"/>
    <w:uiPriority w:val="0"/>
    <w:qFormat/>
    <w:rPr>
      <w:rFonts w:ascii="宋体" w:eastAsia="宋体"/>
      <w:sz w:val="24"/>
      <w:lang w:val="en-US" w:eastAsia="zh-CN" w:bidi="ar-SA"/>
    </w:rPr>
  </w:style>
  <w:style w:type="character" w:styleId="986" w:customStyle="1">
    <w:name w:val="chanpin拷贝"/>
    <w:uiPriority w:val="0"/>
    <w:qFormat/>
  </w:style>
  <w:style w:type="character" w:styleId="987" w:customStyle="1">
    <w:name w:val="纯文本 Char1"/>
    <w:uiPriority w:val="0"/>
    <w:qFormat/>
    <w:rPr>
      <w:rFonts w:ascii="宋体" w:hAnsi="Courier New" w:eastAsia="宋体"/>
      <w:sz w:val="21"/>
      <w:lang w:val="en-US" w:eastAsia="zh-CN" w:bidi="ar-SA"/>
    </w:rPr>
  </w:style>
  <w:style w:type="character" w:styleId="988" w:customStyle="1">
    <w:name w:val="apple-style-span"/>
    <w:uiPriority w:val="0"/>
    <w:qFormat/>
    <w:rPr>
      <w:rFonts w:cs="Times New Roman"/>
    </w:rPr>
  </w:style>
  <w:style w:type="paragraph" w:styleId="989" w:customStyle="1">
    <w:name w:val="二级条标题"/>
    <w:basedOn w:val="990"/>
    <w:next w:val="887"/>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90" w:customStyle="1">
    <w:name w:val="一级条标题"/>
    <w:basedOn w:val="991"/>
    <w:next w:val="887"/>
    <w:uiPriority w:val="0"/>
    <w:qFormat/>
    <w:pPr>
      <w:numPr>
        <w:ilvl w:val="1"/>
      </w:numPr>
      <w:ind w:left="0" w:hanging="840"/>
      <w:tabs>
        <w:tab w:val="left" w:pos="360" w:leader="none"/>
        <w:tab w:val="left" w:pos="840" w:leader="none"/>
      </w:tabs>
      <w:outlineLvl w:val="1"/>
    </w:pPr>
  </w:style>
  <w:style w:type="paragraph" w:styleId="991" w:customStyle="1">
    <w:name w:val="章标题"/>
    <w:next w:val="887"/>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92" w:customStyle="1">
    <w:name w:val="font7"/>
    <w:basedOn w:val="887"/>
    <w:uiPriority w:val="0"/>
    <w:qFormat/>
    <w:pPr>
      <w:jc w:val="left"/>
      <w:spacing w:before="100" w:beforeAutospacing="1" w:after="100" w:afterAutospacing="1"/>
      <w:widowControl/>
    </w:pPr>
    <w:rPr>
      <w:rFonts w:eastAsia="Arial Unicode MS"/>
      <w:b/>
      <w:bCs/>
      <w:color w:val="000000"/>
      <w:sz w:val="20"/>
      <w:szCs w:val="20"/>
    </w:rPr>
  </w:style>
  <w:style w:type="paragraph" w:styleId="993" w:customStyle="1">
    <w:name w:val="字元 字元"/>
    <w:basedOn w:val="887"/>
    <w:uiPriority w:val="0"/>
    <w:qFormat/>
    <w:rPr>
      <w:rFonts w:ascii="Tahoma" w:hAnsi="Tahoma"/>
      <w:sz w:val="24"/>
      <w:szCs w:val="20"/>
    </w:rPr>
  </w:style>
  <w:style w:type="paragraph" w:styleId="994" w:customStyle="1">
    <w:name w:val="Char3 Char Char Char"/>
    <w:basedOn w:val="887"/>
    <w:uiPriority w:val="0"/>
    <w:qFormat/>
    <w:rPr>
      <w:rFonts w:ascii="Tahoma" w:hAnsi="Tahoma"/>
      <w:sz w:val="24"/>
      <w:szCs w:val="20"/>
    </w:rPr>
  </w:style>
  <w:style w:type="paragraph" w:styleId="995" w:customStyle="1">
    <w:name w:val="font6"/>
    <w:basedOn w:val="887"/>
    <w:uiPriority w:val="0"/>
    <w:qFormat/>
    <w:pPr>
      <w:jc w:val="left"/>
      <w:spacing w:before="100" w:beforeAutospacing="1" w:after="100" w:afterAutospacing="1"/>
      <w:widowControl/>
    </w:pPr>
    <w:rPr>
      <w:rFonts w:ascii="宋体" w:hAnsi="宋体" w:cs="宋体"/>
      <w:sz w:val="20"/>
      <w:szCs w:val="20"/>
    </w:rPr>
  </w:style>
  <w:style w:type="paragraph" w:styleId="996" w:customStyle="1">
    <w:name w:val="项目编号2"/>
    <w:basedOn w:val="997"/>
    <w:uiPriority w:val="0"/>
    <w:qFormat/>
    <w:pPr>
      <w:numPr>
        <w:numId w:val="2"/>
      </w:numPr>
    </w:pPr>
  </w:style>
  <w:style w:type="paragraph" w:styleId="997" w:customStyle="1">
    <w:name w:val="项目编号1"/>
    <w:basedOn w:val="887"/>
    <w:uiPriority w:val="0"/>
    <w:qFormat/>
    <w:pPr>
      <w:numPr>
        <w:ilvl w:val="0"/>
        <w:numId w:val="3"/>
      </w:numPr>
      <w:spacing w:before="100" w:beforeAutospacing="1" w:after="100" w:afterAutospacing="1" w:line="360" w:lineRule="auto"/>
    </w:pPr>
    <w:rPr>
      <w:sz w:val="24"/>
    </w:rPr>
  </w:style>
  <w:style w:type="paragraph" w:styleId="998" w:customStyle="1">
    <w:name w:val="图中文字"/>
    <w:basedOn w:val="887"/>
    <w:uiPriority w:val="0"/>
    <w:qFormat/>
    <w:pPr>
      <w:jc w:val="center"/>
      <w:spacing w:line="0" w:lineRule="atLeast"/>
    </w:pPr>
    <w:rPr>
      <w:sz w:val="24"/>
      <w:szCs w:val="20"/>
    </w:rPr>
  </w:style>
  <w:style w:type="paragraph" w:styleId="999" w:customStyle="1">
    <w:name w:val="xl46"/>
    <w:basedOn w:val="887"/>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00" w:customStyle="1">
    <w:name w:val="xl25"/>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1" w:customStyle="1">
    <w:name w:val="Char2"/>
    <w:basedOn w:val="887"/>
    <w:uiPriority w:val="0"/>
    <w:qFormat/>
    <w:rPr>
      <w:rFonts w:ascii="Tahoma" w:hAnsi="Tahoma"/>
      <w:sz w:val="24"/>
      <w:szCs w:val="20"/>
    </w:rPr>
  </w:style>
  <w:style w:type="paragraph" w:styleId="1002" w:customStyle="1">
    <w:name w:val="xl35"/>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3" w:customStyle="1">
    <w:name w:val="xl40"/>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04" w:customStyle="1">
    <w:name w:val="xl52"/>
    <w:basedOn w:val="8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05" w:customStyle="1">
    <w:name w:val="xl43"/>
    <w:basedOn w:val="8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06" w:customStyle="1">
    <w:name w:val="background1"/>
    <w:basedOn w:val="887"/>
    <w:uiPriority w:val="0"/>
    <w:qFormat/>
    <w:pPr>
      <w:jc w:val="left"/>
      <w:spacing w:before="100" w:beforeAutospacing="1" w:after="100" w:afterAutospacing="1"/>
      <w:widowControl/>
    </w:pPr>
    <w:rPr>
      <w:rFonts w:ascii="宋体" w:hAnsi="宋体" w:cs="宋体"/>
      <w:sz w:val="24"/>
    </w:rPr>
  </w:style>
  <w:style w:type="paragraph" w:styleId="1007" w:customStyle="1">
    <w:name w:val="Char Char Char Char Char Char Char"/>
    <w:basedOn w:val="887"/>
    <w:uiPriority w:val="0"/>
    <w:qFormat/>
    <w:pPr>
      <w:ind w:firstLine="200"/>
      <w:spacing w:line="360" w:lineRule="auto"/>
    </w:pPr>
    <w:rPr>
      <w:rFonts w:eastAsia="仿宋_GB2312"/>
      <w:sz w:val="24"/>
    </w:rPr>
  </w:style>
  <w:style w:type="paragraph" w:styleId="1008" w:customStyle="1">
    <w:name w:val="xl38"/>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09" w:customStyle="1">
    <w:name w:val="xl36"/>
    <w:basedOn w:val="887"/>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0" w:customStyle="1">
    <w:name w:val="正文 + 宋体"/>
    <w:basedOn w:val="887"/>
    <w:uiPriority w:val="0"/>
    <w:qFormat/>
    <w:pPr>
      <w:ind w:left="360" w:hanging="360"/>
      <w:jc w:val="left"/>
      <w:widowControl/>
    </w:pPr>
    <w:rPr>
      <w:rFonts w:ascii="宋体" w:hAnsi="宋体" w:cs="宋体"/>
      <w:b/>
      <w:bCs/>
      <w:color w:val="000000"/>
      <w:sz w:val="18"/>
      <w:szCs w:val="18"/>
    </w:rPr>
  </w:style>
  <w:style w:type="paragraph" w:styleId="1011" w:customStyle="1">
    <w:name w:val="正文列项_数字"/>
    <w:basedOn w:val="887"/>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12" w:customStyle="1">
    <w:name w:val="xl39"/>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3" w:customStyle="1">
    <w:name w:val="xl37"/>
    <w:basedOn w:val="887"/>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4" w:customStyle="1">
    <w:name w:val="xl32"/>
    <w:basedOn w:val="8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15" w:customStyle="1">
    <w:name w:val="font8"/>
    <w:basedOn w:val="887"/>
    <w:uiPriority w:val="0"/>
    <w:qFormat/>
    <w:pPr>
      <w:jc w:val="left"/>
      <w:spacing w:before="100" w:beforeAutospacing="1" w:after="100" w:afterAutospacing="1"/>
      <w:widowControl/>
    </w:pPr>
    <w:rPr>
      <w:sz w:val="36"/>
      <w:szCs w:val="36"/>
    </w:rPr>
  </w:style>
  <w:style w:type="paragraph" w:styleId="1016" w:customStyle="1">
    <w:name w:val="Char"/>
    <w:basedOn w:val="887"/>
    <w:uiPriority w:val="0"/>
    <w:qFormat/>
    <w:pPr>
      <w:tabs>
        <w:tab w:val="left" w:pos="360" w:leader="none"/>
      </w:tabs>
    </w:pPr>
    <w:rPr>
      <w:sz w:val="24"/>
    </w:rPr>
  </w:style>
  <w:style w:type="paragraph" w:styleId="1017" w:customStyle="1">
    <w:name w:val="Char Char Char Char Char Char Char Char Char Char Char Char Char Char Char Char"/>
    <w:basedOn w:val="887"/>
    <w:uiPriority w:val="0"/>
    <w:qFormat/>
    <w:pPr>
      <w:jc w:val="center"/>
      <w:spacing w:after="160" w:line="240" w:lineRule="exact"/>
      <w:widowControl/>
    </w:pPr>
    <w:rPr>
      <w:rFonts w:ascii="宋体" w:hAnsi="宋体"/>
      <w:b/>
      <w:sz w:val="30"/>
      <w:szCs w:val="30"/>
      <w:lang w:eastAsia="en-US"/>
    </w:rPr>
  </w:style>
  <w:style w:type="paragraph" w:styleId="1018" w:customStyle="1">
    <w:name w:val="xl45"/>
    <w:basedOn w:val="8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9" w:customStyle="1">
    <w:name w:val="Char Char1 Char Char Char Char Char Char"/>
    <w:basedOn w:val="887"/>
    <w:uiPriority w:val="0"/>
    <w:qFormat/>
    <w:pPr>
      <w:jc w:val="left"/>
      <w:spacing w:after="160" w:line="240" w:lineRule="exact"/>
      <w:widowControl/>
    </w:pPr>
    <w:rPr>
      <w:rFonts w:ascii="Verdana" w:hAnsi="Verdana" w:eastAsia="仿宋_GB2312"/>
      <w:sz w:val="24"/>
      <w:szCs w:val="20"/>
      <w:lang w:eastAsia="en-US"/>
    </w:rPr>
  </w:style>
  <w:style w:type="paragraph" w:styleId="1020" w:customStyle="1">
    <w:name w:val="Char Char1"/>
    <w:basedOn w:val="903"/>
    <w:uiPriority w:val="0"/>
    <w:qFormat/>
    <w:rPr>
      <w:rFonts w:ascii="Tahoma" w:hAnsi="Tahoma"/>
      <w:sz w:val="24"/>
    </w:rPr>
  </w:style>
  <w:style w:type="paragraph" w:styleId="1021" w:customStyle="1">
    <w:name w:val="xl26"/>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22" w:customStyle="1">
    <w:name w:val="xl30"/>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3" w:customStyle="1">
    <w:name w:val="xl41"/>
    <w:basedOn w:val="88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4" w:customStyle="1">
    <w:name w:val="样式 宋体 五号 行距: 单倍行距"/>
    <w:basedOn w:val="887"/>
    <w:uiPriority w:val="0"/>
    <w:qFormat/>
    <w:pPr>
      <w:jc w:val="left"/>
    </w:pPr>
    <w:rPr>
      <w:rFonts w:ascii="宋体" w:hAnsi="宋体"/>
      <w:szCs w:val="20"/>
    </w:rPr>
  </w:style>
  <w:style w:type="paragraph" w:styleId="1025" w:customStyle="1">
    <w:name w:val="Char1 Char Char Char1"/>
    <w:basedOn w:val="887"/>
    <w:uiPriority w:val="0"/>
    <w:qFormat/>
    <w:rPr>
      <w:rFonts w:ascii="Tahoma" w:hAnsi="Tahoma" w:cs="仿宋_GB2312"/>
      <w:sz w:val="24"/>
      <w:szCs w:val="28"/>
    </w:rPr>
  </w:style>
  <w:style w:type="paragraph" w:styleId="1026" w:customStyle="1">
    <w:name w:val="四级条标题"/>
    <w:basedOn w:val="1027"/>
    <w:next w:val="887"/>
    <w:uiPriority w:val="0"/>
    <w:qFormat/>
    <w:pPr>
      <w:numPr>
        <w:ilvl w:val="4"/>
      </w:numPr>
      <w:ind w:left="0" w:hanging="840"/>
      <w:tabs>
        <w:tab w:val="left" w:pos="360" w:leader="none"/>
        <w:tab w:val="left" w:pos="840" w:leader="none"/>
      </w:tabs>
      <w:outlineLvl w:val="4"/>
    </w:pPr>
  </w:style>
  <w:style w:type="paragraph" w:styleId="1027" w:customStyle="1">
    <w:name w:val="三级条标题"/>
    <w:basedOn w:val="989"/>
    <w:next w:val="887"/>
    <w:uiPriority w:val="0"/>
    <w:qFormat/>
    <w:pPr>
      <w:numPr>
        <w:ilvl w:val="3"/>
        <w:numId w:val="1"/>
      </w:numPr>
      <w:ind w:left="0" w:hanging="840"/>
      <w:outlineLvl w:val="3"/>
    </w:pPr>
  </w:style>
  <w:style w:type="paragraph" w:styleId="102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29" w:customStyle="1">
    <w:name w:val="样式 标题 2 + 宋体 五号 行距: 单倍行距"/>
    <w:basedOn w:val="889"/>
    <w:uiPriority w:val="0"/>
    <w:qFormat/>
    <w:pPr>
      <w:numPr>
        <w:ilvl w:val="1"/>
        <w:numId w:val="4"/>
      </w:numPr>
      <w:jc w:val="left"/>
      <w:spacing w:before="260" w:after="260" w:line="240" w:lineRule="auto"/>
    </w:pPr>
    <w:rPr>
      <w:rFonts w:ascii="宋体" w:hAnsi="宋体" w:eastAsia="宋体"/>
      <w:bCs/>
      <w:sz w:val="21"/>
    </w:rPr>
  </w:style>
  <w:style w:type="paragraph" w:styleId="1030" w:customStyle="1">
    <w:name w:val="List Paragraph1"/>
    <w:basedOn w:val="887"/>
    <w:uiPriority w:val="0"/>
    <w:qFormat/>
    <w:pPr>
      <w:ind w:firstLine="420"/>
    </w:pPr>
    <w:rPr>
      <w:rFonts w:ascii="Calibri" w:hAnsi="Calibri"/>
      <w:szCs w:val="22"/>
    </w:rPr>
  </w:style>
  <w:style w:type="paragraph" w:styleId="1031" w:customStyle="1">
    <w:name w:val="项目符号1"/>
    <w:basedOn w:val="1032"/>
    <w:uiPriority w:val="0"/>
    <w:qFormat/>
    <w:pPr>
      <w:ind w:left="-25" w:firstLine="0"/>
    </w:pPr>
  </w:style>
  <w:style w:type="paragraph" w:styleId="1032" w:customStyle="1">
    <w:name w:val="正文文本样式"/>
    <w:basedOn w:val="887"/>
    <w:uiPriority w:val="0"/>
    <w:qFormat/>
    <w:pPr>
      <w:ind w:firstLine="482"/>
      <w:spacing w:line="360" w:lineRule="auto"/>
    </w:pPr>
    <w:rPr>
      <w:rFonts w:cs="宋体"/>
      <w:sz w:val="24"/>
      <w:szCs w:val="20"/>
    </w:rPr>
  </w:style>
  <w:style w:type="paragraph" w:styleId="1033" w:customStyle="1">
    <w:name w:val="xl27"/>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4" w:customStyle="1">
    <w:name w:val="font5"/>
    <w:basedOn w:val="887"/>
    <w:uiPriority w:val="0"/>
    <w:qFormat/>
    <w:pPr>
      <w:jc w:val="left"/>
      <w:spacing w:before="100" w:beforeAutospacing="1" w:after="100" w:afterAutospacing="1"/>
      <w:widowControl/>
    </w:pPr>
    <w:rPr>
      <w:rFonts w:ascii="宋体" w:hAnsi="宋体" w:cs="宋体"/>
      <w:sz w:val="18"/>
      <w:szCs w:val="18"/>
    </w:rPr>
  </w:style>
  <w:style w:type="paragraph" w:styleId="1035" w:customStyle="1">
    <w:name w:val="五级条标题"/>
    <w:basedOn w:val="1026"/>
    <w:next w:val="887"/>
    <w:uiPriority w:val="0"/>
    <w:qFormat/>
    <w:pPr>
      <w:numPr>
        <w:ilvl w:val="5"/>
      </w:numPr>
      <w:ind w:left="0" w:hanging="840"/>
      <w:outlineLvl w:val="5"/>
    </w:pPr>
  </w:style>
  <w:style w:type="paragraph" w:styleId="1036" w:customStyle="1">
    <w:name w:val="xl49"/>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37" w:customStyle="1">
    <w:name w:val="文档正文"/>
    <w:basedOn w:val="887"/>
    <w:uiPriority w:val="0"/>
    <w:qFormat/>
    <w:pPr>
      <w:spacing w:before="120" w:after="120" w:line="180" w:lineRule="auto"/>
    </w:pPr>
    <w:rPr>
      <w:rFonts w:ascii="Arial" w:hAnsi="Arial"/>
      <w:szCs w:val="20"/>
    </w:rPr>
  </w:style>
  <w:style w:type="paragraph" w:styleId="1038" w:customStyle="1">
    <w:name w:val="xl33"/>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39" w:customStyle="1">
    <w:name w:val="xl42"/>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40" w:customStyle="1">
    <w:name w:val="Char Char Char1 Char"/>
    <w:basedOn w:val="887"/>
    <w:uiPriority w:val="0"/>
    <w:qFormat/>
    <w:rPr>
      <w:rFonts w:ascii="Tahoma" w:hAnsi="Tahoma"/>
      <w:sz w:val="24"/>
      <w:szCs w:val="20"/>
    </w:rPr>
  </w:style>
  <w:style w:type="paragraph" w:styleId="1041" w:customStyle="1">
    <w:name w:val="xl44"/>
    <w:basedOn w:val="8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42" w:customStyle="1">
    <w:name w:val="1名"/>
    <w:basedOn w:val="887"/>
    <w:uiPriority w:val="0"/>
    <w:qFormat/>
    <w:pPr>
      <w:numPr>
        <w:ilvl w:val="0"/>
        <w:numId w:val="5"/>
      </w:numPr>
      <w:spacing w:before="120"/>
    </w:pPr>
    <w:rPr>
      <w:rFonts w:ascii="宋体"/>
      <w:sz w:val="28"/>
      <w:szCs w:val="20"/>
    </w:rPr>
  </w:style>
  <w:style w:type="paragraph" w:styleId="1043" w:customStyle="1">
    <w:name w:val="font9"/>
    <w:basedOn w:val="887"/>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44" w:customStyle="1">
    <w:name w:val="Char Char Char1 Char1"/>
    <w:basedOn w:val="887"/>
    <w:uiPriority w:val="0"/>
    <w:qFormat/>
    <w:rPr>
      <w:rFonts w:ascii="Tahoma" w:hAnsi="Tahoma"/>
      <w:sz w:val="24"/>
      <w:szCs w:val="20"/>
    </w:rPr>
  </w:style>
  <w:style w:type="paragraph" w:styleId="1045" w:customStyle="1">
    <w:name w:val="Char Char Char Char Char Char Char Char Char Char"/>
    <w:basedOn w:val="887"/>
    <w:uiPriority w:val="0"/>
    <w:qFormat/>
  </w:style>
  <w:style w:type="paragraph" w:styleId="1046" w:customStyle="1">
    <w:name w:val="Char Char1 Char Char Char Char Char Char Char Char"/>
    <w:basedOn w:val="887"/>
    <w:uiPriority w:val="0"/>
    <w:qFormat/>
    <w:pPr>
      <w:jc w:val="left"/>
      <w:spacing w:after="160" w:line="240" w:lineRule="exact"/>
      <w:widowControl/>
    </w:pPr>
    <w:rPr>
      <w:rFonts w:ascii="Verdana" w:hAnsi="Verdana"/>
      <w:sz w:val="20"/>
      <w:szCs w:val="20"/>
      <w:lang w:eastAsia="en-US"/>
    </w:rPr>
  </w:style>
  <w:style w:type="paragraph" w:styleId="1047" w:customStyle="1">
    <w:name w:val="Char1"/>
    <w:basedOn w:val="887"/>
    <w:uiPriority w:val="0"/>
    <w:qFormat/>
    <w:pPr>
      <w:tabs>
        <w:tab w:val="left" w:pos="360" w:leader="none"/>
      </w:tabs>
    </w:pPr>
    <w:rPr>
      <w:sz w:val="24"/>
    </w:rPr>
  </w:style>
  <w:style w:type="paragraph" w:styleId="1048" w:customStyle="1">
    <w:name w:val="正文列项_字母"/>
    <w:basedOn w:val="887"/>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9" w:customStyle="1">
    <w:name w:val="xl28"/>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0" w:customStyle="1">
    <w:name w:val="xl47"/>
    <w:basedOn w:val="887"/>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1" w:customStyle="1">
    <w:name w:val="默认段落字体 Para Char Char Char Char"/>
    <w:basedOn w:val="887"/>
    <w:uiPriority w:val="0"/>
    <w:qFormat/>
    <w:rPr>
      <w:rFonts w:ascii="Arial" w:hAnsi="Arial" w:cs="Arial"/>
      <w:szCs w:val="21"/>
    </w:rPr>
  </w:style>
  <w:style w:type="paragraph" w:styleId="1052" w:customStyle="1">
    <w:name w:val="xl48"/>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53" w:customStyle="1">
    <w:name w:val="xl31"/>
    <w:basedOn w:val="8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4" w:customStyle="1">
    <w:name w:val="xl53"/>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55" w:customStyle="1">
    <w:name w:val="Char Char Char"/>
    <w:basedOn w:val="887"/>
    <w:uiPriority w:val="0"/>
    <w:qFormat/>
    <w:rPr>
      <w:rFonts w:ascii="Tahoma" w:hAnsi="Tahoma"/>
      <w:sz w:val="24"/>
      <w:szCs w:val="20"/>
    </w:rPr>
  </w:style>
  <w:style w:type="paragraph" w:styleId="1056" w:customStyle="1">
    <w:name w:val="xl50"/>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57" w:customStyle="1">
    <w:name w:val="缺省文本"/>
    <w:basedOn w:val="887"/>
    <w:uiPriority w:val="0"/>
    <w:qFormat/>
    <w:pPr>
      <w:jc w:val="left"/>
    </w:pPr>
    <w:rPr>
      <w:sz w:val="24"/>
    </w:rPr>
  </w:style>
  <w:style w:type="paragraph" w:styleId="1058" w:customStyle="1">
    <w:name w:val="Char Char Char1"/>
    <w:basedOn w:val="887"/>
    <w:uiPriority w:val="0"/>
    <w:qFormat/>
    <w:rPr>
      <w:rFonts w:ascii="Tahoma" w:hAnsi="Tahoma"/>
      <w:sz w:val="24"/>
      <w:szCs w:val="20"/>
    </w:rPr>
  </w:style>
  <w:style w:type="paragraph" w:styleId="1059" w:customStyle="1">
    <w:name w:val="Char Char Char Char Char Char Char1"/>
    <w:basedOn w:val="887"/>
    <w:uiPriority w:val="0"/>
    <w:qFormat/>
    <w:pPr>
      <w:ind w:firstLine="200"/>
      <w:spacing w:line="360" w:lineRule="auto"/>
    </w:pPr>
    <w:rPr>
      <w:rFonts w:eastAsia="仿宋_GB2312"/>
      <w:sz w:val="24"/>
    </w:rPr>
  </w:style>
  <w:style w:type="paragraph" w:styleId="1060" w:customStyle="1">
    <w:name w:val="xl51"/>
    <w:basedOn w:val="88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1" w:customStyle="1">
    <w:name w:val="样式2"/>
    <w:basedOn w:val="927"/>
    <w:uiPriority w:val="0"/>
    <w:qFormat/>
    <w:pPr>
      <w:jc w:val="center"/>
      <w:spacing w:line="360" w:lineRule="auto"/>
    </w:pPr>
    <w:rPr>
      <w:sz w:val="24"/>
    </w:rPr>
  </w:style>
  <w:style w:type="paragraph" w:styleId="1062" w:customStyle="1">
    <w:name w:val="xl24"/>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3" w:customStyle="1">
    <w:name w:val="xl29"/>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64" w:customStyle="1">
    <w:name w:val="正文 + 楷体_GB2312"/>
    <w:basedOn w:val="887"/>
    <w:uiPriority w:val="0"/>
    <w:qFormat/>
    <w:pPr>
      <w:jc w:val="left"/>
      <w:widowControl/>
    </w:pPr>
    <w:rPr>
      <w:rFonts w:ascii="楷体_GB2312" w:eastAsia="楷体_GB2312" w:cs="Arial"/>
      <w:sz w:val="24"/>
    </w:rPr>
  </w:style>
  <w:style w:type="paragraph" w:styleId="1065" w:customStyle="1">
    <w:name w:val="xl34"/>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66" w:customStyle="1">
    <w:name w:val="1 Char Char Char Char"/>
    <w:basedOn w:val="887"/>
    <w:uiPriority w:val="0"/>
    <w:qFormat/>
    <w:rPr>
      <w:rFonts w:ascii="Tahoma" w:hAnsi="Tahoma"/>
      <w:sz w:val="24"/>
      <w:szCs w:val="20"/>
    </w:rPr>
  </w:style>
  <w:style w:type="paragraph" w:styleId="1067" w:customStyle="1">
    <w:name w:val="列出段落1"/>
    <w:basedOn w:val="887"/>
    <w:uiPriority w:val="0"/>
    <w:qFormat/>
    <w:pPr>
      <w:ind w:firstLine="420"/>
    </w:pPr>
    <w:rPr>
      <w:rFonts w:ascii="Calibri" w:hAnsi="Calibri"/>
      <w:szCs w:val="22"/>
    </w:rPr>
  </w:style>
  <w:style w:type="paragraph" w:styleId="1068" w:customStyle="1">
    <w:name w:val="default"/>
    <w:basedOn w:val="887"/>
    <w:uiPriority w:val="0"/>
    <w:qFormat/>
    <w:pPr>
      <w:jc w:val="left"/>
      <w:spacing w:before="100" w:beforeAutospacing="1" w:after="100" w:afterAutospacing="1"/>
      <w:widowControl/>
    </w:pPr>
    <w:rPr>
      <w:rFonts w:ascii="宋体" w:hAnsi="宋体" w:cs="宋体"/>
      <w:sz w:val="24"/>
    </w:rPr>
  </w:style>
  <w:style w:type="paragraph" w:styleId="1069" w:customStyle="1">
    <w:name w:val="字元 字元1"/>
    <w:basedOn w:val="887"/>
    <w:uiPriority w:val="0"/>
    <w:qFormat/>
    <w:rPr>
      <w:rFonts w:ascii="Tahoma" w:hAnsi="Tahoma"/>
      <w:sz w:val="24"/>
      <w:szCs w:val="20"/>
    </w:rPr>
  </w:style>
  <w:style w:type="paragraph" w:styleId="1070" w:customStyle="1">
    <w:name w:val="_Style 160"/>
    <w:uiPriority w:val="0"/>
    <w:qFormat/>
    <w:rPr>
      <w:rFonts w:ascii="Times New Roman" w:hAnsi="Times New Roman" w:eastAsia="宋体" w:cs="Times New Roman"/>
      <w:sz w:val="21"/>
      <w:szCs w:val="24"/>
      <w:lang w:val="en-US" w:eastAsia="zh-CN" w:bidi="ar-SA"/>
    </w:rPr>
  </w:style>
  <w:style w:type="paragraph" w:styleId="1071" w:customStyle="1">
    <w:name w:val="项目编号3"/>
    <w:basedOn w:val="1032"/>
    <w:uiPriority w:val="0"/>
    <w:qFormat/>
    <w:pPr>
      <w:numPr>
        <w:ilvl w:val="0"/>
        <w:numId w:val="6"/>
      </w:numPr>
    </w:pPr>
  </w:style>
  <w:style w:type="paragraph" w:styleId="1072" w:customStyle="1">
    <w:name w:val="Char21"/>
    <w:basedOn w:val="887"/>
    <w:uiPriority w:val="0"/>
    <w:qFormat/>
    <w:rPr>
      <w:rFonts w:ascii="Tahoma" w:hAnsi="Tahoma"/>
      <w:sz w:val="24"/>
      <w:szCs w:val="20"/>
    </w:rPr>
  </w:style>
  <w:style w:type="paragraph" w:styleId="1073" w:customStyle="1">
    <w:name w:val="表格文字"/>
    <w:basedOn w:val="907"/>
    <w:uiPriority w:val="0"/>
    <w:qFormat/>
    <w:pPr>
      <w:ind w:firstLine="0"/>
      <w:spacing w:before="20" w:after="20" w:line="240" w:lineRule="auto"/>
    </w:pPr>
    <w:rPr>
      <w:rFonts w:ascii="Century Gothic" w:hAnsi="Century Gothic"/>
      <w:sz w:val="20"/>
      <w:szCs w:val="20"/>
    </w:rPr>
  </w:style>
  <w:style w:type="paragraph" w:styleId="1074" w:customStyle="1">
    <w:name w:val="Char Char Char Char Char Char Char Char Char Char1"/>
    <w:basedOn w:val="887"/>
    <w:uiPriority w:val="0"/>
    <w:qFormat/>
    <w:rPr>
      <w:rFonts w:ascii="宋体" w:hAnsi="宋体" w:cs="Courier New"/>
      <w:sz w:val="32"/>
      <w:szCs w:val="32"/>
    </w:rPr>
  </w:style>
  <w:style w:type="paragraph" w:styleId="1075" w:customStyle="1">
    <w:name w:val="正文文本样式 加粗"/>
    <w:basedOn w:val="1032"/>
    <w:uiPriority w:val="0"/>
    <w:qFormat/>
    <w:rPr>
      <w:b/>
    </w:rPr>
  </w:style>
  <w:style w:type="paragraph" w:styleId="1076" w:customStyle="1">
    <w:name w:val="Char2 Char Char Char Char Char Char"/>
    <w:basedOn w:val="887"/>
    <w:uiPriority w:val="0"/>
    <w:qFormat/>
    <w:pPr>
      <w:jc w:val="center"/>
      <w:spacing w:line="400" w:lineRule="exact"/>
      <w:widowControl/>
    </w:pPr>
  </w:style>
  <w:style w:type="paragraph" w:styleId="1077" w:customStyle="1">
    <w:name w:val="Char Char4"/>
    <w:basedOn w:val="887"/>
    <w:uiPriority w:val="0"/>
    <w:qFormat/>
    <w:pPr>
      <w:jc w:val="center"/>
      <w:spacing w:line="400" w:lineRule="exact"/>
      <w:widowControl/>
    </w:pPr>
  </w:style>
  <w:style w:type="paragraph" w:styleId="1078" w:customStyle="1">
    <w:name w:val="Char3 Char Char Char1"/>
    <w:basedOn w:val="887"/>
    <w:uiPriority w:val="0"/>
    <w:qFormat/>
    <w:rPr>
      <w:rFonts w:ascii="Tahoma" w:hAnsi="Tahoma"/>
      <w:sz w:val="24"/>
      <w:szCs w:val="20"/>
    </w:rPr>
  </w:style>
  <w:style w:type="paragraph" w:styleId="107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22222222222222"/>
    <w:basedOn w:val="887"/>
    <w:uiPriority w:val="0"/>
    <w:qFormat/>
    <w:pPr>
      <w:ind w:firstLine="480"/>
      <w:jc w:val="left"/>
      <w:spacing w:line="360" w:lineRule="auto"/>
      <w:widowControl/>
    </w:pPr>
    <w:rPr>
      <w:color w:val="ff0000"/>
      <w:sz w:val="24"/>
      <w:szCs w:val="20"/>
    </w:rPr>
  </w:style>
  <w:style w:type="character" w:styleId="1081" w:customStyle="1">
    <w:name w:val="中等深浅网格 1 - 强调文字颜色 2 Char"/>
    <w:link w:val="1082"/>
    <w:uiPriority w:val="0"/>
    <w:qFormat/>
    <w:rPr>
      <w:sz w:val="21"/>
      <w:szCs w:val="24"/>
      <w:lang w:val="zh-CN" w:eastAsia="zh-CN" w:bidi="ar-SA"/>
    </w:rPr>
  </w:style>
  <w:style w:type="paragraph" w:styleId="1082" w:customStyle="1">
    <w:name w:val="1"/>
    <w:link w:val="1081"/>
    <w:uiPriority w:val="0"/>
    <w:qFormat/>
    <w:rPr>
      <w:rFonts w:ascii="Times New Roman" w:hAnsi="Times New Roman" w:eastAsia="宋体" w:cs="Times New Roman"/>
      <w:sz w:val="21"/>
      <w:szCs w:val="24"/>
      <w:lang w:val="zh-CN" w:eastAsia="zh-CN" w:bidi="ar-SA"/>
    </w:rPr>
  </w:style>
  <w:style w:type="paragraph" w:styleId="1083" w:customStyle="1">
    <w:name w:val="图文"/>
    <w:basedOn w:val="887"/>
    <w:uiPriority w:val="0"/>
    <w:qFormat/>
    <w:pPr>
      <w:spacing w:after="50" w:line="360" w:lineRule="auto"/>
    </w:pPr>
    <w:rPr>
      <w:sz w:val="24"/>
    </w:rPr>
  </w:style>
  <w:style w:type="paragraph" w:styleId="1084" w:customStyle="1">
    <w:name w:val="xl23"/>
    <w:basedOn w:val="887"/>
    <w:uiPriority w:val="0"/>
    <w:qFormat/>
    <w:pPr>
      <w:spacing w:before="100" w:beforeAutospacing="1" w:after="100" w:afterAutospacing="1" w:line="360" w:lineRule="auto"/>
      <w:widowControl/>
    </w:pPr>
    <w:rPr>
      <w:sz w:val="24"/>
      <w:szCs w:val="20"/>
    </w:rPr>
  </w:style>
  <w:style w:type="paragraph" w:styleId="1085" w:customStyle="1">
    <w:name w:val="正文表格"/>
    <w:basedOn w:val="887"/>
    <w:link w:val="1086"/>
    <w:uiPriority w:val="0"/>
    <w:qFormat/>
    <w:pPr>
      <w:jc w:val="left"/>
    </w:pPr>
    <w:rPr>
      <w:rFonts w:ascii="宋体" w:hAnsi="宋体"/>
      <w:color w:val="000000"/>
      <w:szCs w:val="21"/>
    </w:rPr>
  </w:style>
  <w:style w:type="character" w:styleId="1086" w:customStyle="1">
    <w:name w:val="正文表格 Char"/>
    <w:link w:val="1085"/>
    <w:uiPriority w:val="0"/>
    <w:qFormat/>
    <w:rPr>
      <w:rFonts w:ascii="宋体" w:hAnsi="宋体"/>
      <w:color w:val="000000"/>
      <w:sz w:val="21"/>
      <w:szCs w:val="21"/>
    </w:rPr>
  </w:style>
  <w:style w:type="paragraph" w:styleId="1087" w:customStyle="1">
    <w:name w:val="正文重点"/>
    <w:basedOn w:val="887"/>
    <w:link w:val="1088"/>
    <w:uiPriority w:val="0"/>
    <w:qFormat/>
    <w:pPr>
      <w:ind w:firstLine="482"/>
      <w:jc w:val="left"/>
      <w:spacing w:line="360" w:lineRule="auto"/>
    </w:pPr>
    <w:rPr>
      <w:b/>
      <w:sz w:val="24"/>
      <w:szCs w:val="20"/>
    </w:rPr>
  </w:style>
  <w:style w:type="character" w:styleId="1088" w:customStyle="1">
    <w:name w:val="正文重点 Char"/>
    <w:link w:val="1087"/>
    <w:uiPriority w:val="0"/>
    <w:qFormat/>
    <w:rPr>
      <w:b/>
      <w:sz w:val="24"/>
    </w:rPr>
  </w:style>
  <w:style w:type="paragraph" w:styleId="1089" w:customStyle="1">
    <w:name w:val="标题1-附件"/>
    <w:basedOn w:val="888"/>
    <w:uiPriority w:val="0"/>
    <w:qFormat/>
    <w:pPr>
      <w:jc w:val="left"/>
    </w:pPr>
    <w:rPr>
      <w:sz w:val="24"/>
      <w:szCs w:val="24"/>
    </w:rPr>
  </w:style>
  <w:style w:type="paragraph" w:styleId="1090" w:customStyle="1">
    <w:name w:val="正文小标题"/>
    <w:basedOn w:val="887"/>
    <w:next w:val="901"/>
    <w:link w:val="1091"/>
    <w:uiPriority w:val="0"/>
    <w:qFormat/>
    <w:pPr>
      <w:ind w:firstLine="482"/>
      <w:jc w:val="left"/>
      <w:spacing w:before="312" w:after="312"/>
    </w:pPr>
    <w:rPr>
      <w:rFonts w:ascii="宋体" w:hAnsi="宋体"/>
      <w:b/>
      <w:i/>
      <w:color w:val="ff0000"/>
      <w:sz w:val="24"/>
      <w:szCs w:val="20"/>
    </w:rPr>
  </w:style>
  <w:style w:type="character" w:styleId="1091" w:customStyle="1">
    <w:name w:val="正文小标题 Char"/>
    <w:link w:val="1090"/>
    <w:uiPriority w:val="0"/>
    <w:qFormat/>
    <w:rPr>
      <w:rFonts w:ascii="宋体" w:hAnsi="宋体"/>
      <w:b/>
      <w:i/>
      <w:color w:val="ff0000"/>
      <w:sz w:val="24"/>
    </w:rPr>
  </w:style>
  <w:style w:type="paragraph" w:styleId="1092" w:customStyle="1">
    <w:name w:val="正文大标题"/>
    <w:basedOn w:val="1090"/>
    <w:next w:val="901"/>
    <w:link w:val="1093"/>
    <w:uiPriority w:val="0"/>
    <w:qFormat/>
    <w:pPr>
      <w:jc w:val="center"/>
    </w:pPr>
    <w:rPr>
      <w:i w:val="0"/>
      <w:color w:val="000000"/>
      <w:sz w:val="28"/>
      <w:szCs w:val="21"/>
    </w:rPr>
  </w:style>
  <w:style w:type="character" w:styleId="1093" w:customStyle="1">
    <w:name w:val="正文大标题 Char"/>
    <w:link w:val="1092"/>
    <w:uiPriority w:val="0"/>
    <w:qFormat/>
    <w:rPr>
      <w:rFonts w:ascii="宋体" w:hAnsi="宋体"/>
      <w:b/>
      <w:color w:val="000000"/>
      <w:sz w:val="28"/>
      <w:szCs w:val="21"/>
    </w:rPr>
  </w:style>
  <w:style w:type="paragraph" w:styleId="1094" w:customStyle="1">
    <w:name w:val="注释"/>
    <w:basedOn w:val="887"/>
    <w:link w:val="1095"/>
    <w:uiPriority w:val="0"/>
    <w:qFormat/>
    <w:pPr>
      <w:ind w:left="420" w:hanging="420"/>
      <w:jc w:val="left"/>
    </w:pPr>
    <w:rPr>
      <w:rFonts w:ascii="宋体" w:hAnsi="宋体"/>
      <w:szCs w:val="21"/>
    </w:rPr>
  </w:style>
  <w:style w:type="character" w:styleId="1095" w:customStyle="1">
    <w:name w:val="注释 Char"/>
    <w:link w:val="1094"/>
    <w:uiPriority w:val="0"/>
    <w:qFormat/>
    <w:rPr>
      <w:rFonts w:ascii="宋体" w:hAnsi="宋体"/>
      <w:sz w:val="21"/>
      <w:szCs w:val="21"/>
    </w:rPr>
  </w:style>
  <w:style w:type="paragraph" w:styleId="1096" w:customStyle="1">
    <w:name w:val="正文须知-1级"/>
    <w:basedOn w:val="887"/>
    <w:next w:val="887"/>
    <w:uiPriority w:val="0"/>
    <w:qFormat/>
    <w:pPr>
      <w:numPr>
        <w:ilvl w:val="0"/>
        <w:numId w:val="7"/>
      </w:numPr>
      <w:spacing w:line="300" w:lineRule="auto"/>
    </w:pPr>
    <w:rPr>
      <w:rFonts w:ascii="宋体" w:hAnsi="Calibri"/>
      <w:sz w:val="24"/>
      <w:szCs w:val="21"/>
    </w:rPr>
  </w:style>
  <w:style w:type="paragraph" w:styleId="1097" w:customStyle="1">
    <w:name w:val="正文须知-2级"/>
    <w:basedOn w:val="887"/>
    <w:uiPriority w:val="0"/>
    <w:qFormat/>
    <w:pPr>
      <w:numPr>
        <w:ilvl w:val="1"/>
        <w:numId w:val="7"/>
      </w:numPr>
      <w:spacing w:line="300" w:lineRule="auto"/>
    </w:pPr>
    <w:rPr>
      <w:rFonts w:ascii="宋体" w:hAnsi="Calibri"/>
      <w:sz w:val="24"/>
      <w:szCs w:val="21"/>
    </w:rPr>
  </w:style>
  <w:style w:type="paragraph" w:styleId="1098" w:customStyle="1">
    <w:name w:val="正文须知-3级"/>
    <w:basedOn w:val="887"/>
    <w:uiPriority w:val="0"/>
    <w:qFormat/>
    <w:pPr>
      <w:numPr>
        <w:ilvl w:val="2"/>
        <w:numId w:val="7"/>
      </w:numPr>
      <w:ind w:hanging="355"/>
      <w:spacing w:line="300" w:lineRule="auto"/>
    </w:pPr>
    <w:rPr>
      <w:rFonts w:ascii="宋体" w:hAnsi="Calibri"/>
      <w:sz w:val="24"/>
      <w:szCs w:val="21"/>
    </w:rPr>
  </w:style>
  <w:style w:type="character" w:styleId="1099" w:customStyle="1">
    <w:name w:val="纯文本 字符"/>
    <w:uiPriority w:val="99"/>
    <w:qFormat/>
    <w:rPr>
      <w:rFonts w:ascii="宋体" w:hAnsi="Courier New" w:eastAsia="宋体" w:cs="Times New Roman"/>
      <w:sz w:val="21"/>
      <w:szCs w:val="21"/>
      <w:lang w:val="en-US" w:eastAsia="zh-CN" w:bidi="ar-SA"/>
    </w:rPr>
  </w:style>
  <w:style w:type="paragraph" w:styleId="1100" w:customStyle="1">
    <w:name w:val="表格1"/>
    <w:basedOn w:val="887"/>
    <w:uiPriority w:val="0"/>
    <w:qFormat/>
    <w:pPr>
      <w:ind w:firstLine="480"/>
      <w:jc w:val="center"/>
    </w:pPr>
    <w:rPr>
      <w:sz w:val="24"/>
      <w:szCs w:val="20"/>
    </w:rPr>
  </w:style>
  <w:style w:type="character" w:styleId="1101" w:customStyle="1">
    <w:name w:val="纯文本 字符1"/>
    <w:uiPriority w:val="0"/>
    <w:qFormat/>
    <w:rPr>
      <w:rFonts w:ascii="宋体" w:hAnsi="Courier New"/>
    </w:rPr>
  </w:style>
  <w:style w:type="character" w:styleId="1102" w:customStyle="1">
    <w:name w:val="bjh-p"/>
    <w:uiPriority w:val="0"/>
    <w:qFormat/>
  </w:style>
  <w:style w:type="paragraph" w:styleId="1103" w:customStyle="1">
    <w:name w:val="无标题条"/>
    <w:next w:val="887"/>
    <w:uiPriority w:val="0"/>
    <w:qFormat/>
    <w:pPr>
      <w:jc w:val="both"/>
    </w:pPr>
    <w:rPr>
      <w:rFonts w:ascii="Times New Roman" w:hAnsi="Times New Roman" w:eastAsia="宋体" w:cs="Times New Roman"/>
      <w:sz w:val="21"/>
      <w:lang w:val="en-US" w:eastAsia="zh-CN" w:bidi="ar-SA"/>
    </w:rPr>
  </w:style>
  <w:style w:type="character" w:styleId="1104" w:customStyle="1">
    <w:name w:val="正文格式 Char"/>
    <w:link w:val="1105"/>
    <w:uiPriority w:val="0"/>
    <w:qFormat/>
    <w:rPr>
      <w:rFonts w:ascii="宋体" w:hAnsi="宋体"/>
      <w:sz w:val="24"/>
      <w:szCs w:val="24"/>
      <w:lang w:val="en-GB"/>
    </w:rPr>
  </w:style>
  <w:style w:type="paragraph" w:styleId="1105" w:customStyle="1">
    <w:name w:val="正文格式"/>
    <w:basedOn w:val="887"/>
    <w:link w:val="1104"/>
    <w:uiPriority w:val="0"/>
    <w:qFormat/>
    <w:pPr>
      <w:ind w:firstLine="480"/>
      <w:spacing w:line="360" w:lineRule="auto"/>
    </w:pPr>
    <w:rPr>
      <w:rFonts w:ascii="宋体" w:hAnsi="宋体"/>
      <w:sz w:val="24"/>
      <w:lang w:val="en-GB"/>
    </w:rPr>
  </w:style>
  <w:style w:type="character" w:styleId="1106" w:customStyle="1">
    <w:name w:val="标题 3 Char"/>
    <w:uiPriority w:val="0"/>
    <w:qFormat/>
    <w:rPr>
      <w:rFonts w:ascii="宋体" w:eastAsia="宋体"/>
      <w:b/>
      <w:sz w:val="24"/>
      <w:u w:val="single"/>
      <w:lang w:val="en-US" w:eastAsia="zh-CN" w:bidi="ar-SA"/>
    </w:rPr>
  </w:style>
  <w:style w:type="character" w:styleId="1107" w:customStyle="1">
    <w:name w:val="正文缩进 Char"/>
    <w:uiPriority w:val="0"/>
    <w:qFormat/>
    <w:rPr>
      <w:rFonts w:ascii="宋体" w:eastAsia="宋体"/>
      <w:sz w:val="24"/>
      <w:szCs w:val="24"/>
      <w:lang w:val="en-US" w:eastAsia="zh-CN" w:bidi="ar-SA"/>
    </w:rPr>
  </w:style>
  <w:style w:type="character" w:styleId="1108" w:customStyle="1">
    <w:name w:val="Char Char111"/>
    <w:uiPriority w:val="0"/>
    <w:qFormat/>
    <w:rPr>
      <w:rFonts w:ascii="宋体" w:eastAsia="宋体"/>
      <w:b/>
      <w:sz w:val="24"/>
      <w:u w:val="single"/>
      <w:lang w:val="en-US" w:eastAsia="zh-CN" w:bidi="ar-SA"/>
    </w:rPr>
  </w:style>
  <w:style w:type="character" w:styleId="1109" w:customStyle="1">
    <w:name w:val="正文文本缩进 Char"/>
    <w:uiPriority w:val="0"/>
    <w:qFormat/>
    <w:rPr>
      <w:rFonts w:eastAsia="宋体"/>
      <w:sz w:val="24"/>
      <w:szCs w:val="24"/>
      <w:lang w:val="en-US" w:eastAsia="zh-CN" w:bidi="ar-SA"/>
    </w:rPr>
  </w:style>
  <w:style w:type="character" w:styleId="1110" w:customStyle="1">
    <w:name w:val="列出段落 Char"/>
    <w:uiPriority w:val="0"/>
    <w:qFormat/>
    <w:rPr>
      <w:rFonts w:ascii="Calibri" w:hAnsi="Calibri" w:eastAsia="宋体"/>
      <w:sz w:val="21"/>
      <w:szCs w:val="22"/>
      <w:lang w:val="en-US" w:eastAsia="zh-CN" w:bidi="ar-SA"/>
    </w:rPr>
  </w:style>
  <w:style w:type="character" w:styleId="1111" w:customStyle="1">
    <w:name w:val="页眉 Char"/>
    <w:uiPriority w:val="0"/>
    <w:qFormat/>
    <w:rPr>
      <w:rFonts w:eastAsia="宋体"/>
      <w:sz w:val="18"/>
      <w:szCs w:val="18"/>
      <w:lang w:val="en-US" w:eastAsia="zh-CN" w:bidi="ar-SA"/>
    </w:rPr>
  </w:style>
  <w:style w:type="character" w:styleId="1112" w:customStyle="1">
    <w:name w:val="标题 2 Char"/>
    <w:uiPriority w:val="0"/>
    <w:qFormat/>
    <w:rPr>
      <w:rFonts w:ascii="Arial" w:hAnsi="Arial" w:eastAsia="黑体"/>
      <w:b/>
      <w:sz w:val="30"/>
      <w:lang w:val="en-US" w:eastAsia="zh-CN" w:bidi="ar-SA"/>
    </w:rPr>
  </w:style>
  <w:style w:type="paragraph" w:styleId="1113" w:customStyle="1">
    <w:name w:val="字元 字元2"/>
    <w:basedOn w:val="887"/>
    <w:uiPriority w:val="0"/>
    <w:qFormat/>
    <w:rPr>
      <w:rFonts w:ascii="Tahoma" w:hAnsi="Tahoma"/>
      <w:sz w:val="24"/>
      <w:szCs w:val="20"/>
    </w:rPr>
  </w:style>
  <w:style w:type="paragraph" w:styleId="1114" w:customStyle="1">
    <w:name w:val="Char3 Char Char Char2"/>
    <w:basedOn w:val="887"/>
    <w:uiPriority w:val="0"/>
    <w:qFormat/>
    <w:rPr>
      <w:rFonts w:ascii="Tahoma" w:hAnsi="Tahoma"/>
      <w:sz w:val="24"/>
      <w:szCs w:val="20"/>
    </w:rPr>
  </w:style>
  <w:style w:type="paragraph" w:styleId="1115" w:customStyle="1">
    <w:name w:val="正文文本缩进2"/>
    <w:basedOn w:val="887"/>
    <w:uiPriority w:val="0"/>
    <w:qFormat/>
    <w:pPr>
      <w:ind w:firstLine="480"/>
      <w:spacing w:line="480" w:lineRule="exact"/>
    </w:pPr>
    <w:rPr>
      <w:rFonts w:ascii="宋体" w:hAnsi="宋体"/>
      <w:sz w:val="24"/>
      <w:lang w:val="zh-CN"/>
    </w:rPr>
  </w:style>
  <w:style w:type="paragraph" w:styleId="1116" w:customStyle="1">
    <w:name w:val="Char3"/>
    <w:basedOn w:val="887"/>
    <w:uiPriority w:val="0"/>
    <w:qFormat/>
    <w:pPr>
      <w:tabs>
        <w:tab w:val="left" w:pos="360" w:leader="none"/>
      </w:tabs>
    </w:pPr>
    <w:rPr>
      <w:sz w:val="24"/>
    </w:rPr>
  </w:style>
  <w:style w:type="paragraph" w:styleId="1117" w:customStyle="1">
    <w:name w:val="Char Char Char Char Char Char Char Char Char Char Char Char Char Char Char Char1"/>
    <w:basedOn w:val="887"/>
    <w:uiPriority w:val="0"/>
    <w:qFormat/>
    <w:pPr>
      <w:jc w:val="center"/>
      <w:spacing w:after="160" w:line="240" w:lineRule="exact"/>
      <w:widowControl/>
    </w:pPr>
    <w:rPr>
      <w:rFonts w:ascii="宋体" w:hAnsi="宋体"/>
      <w:b/>
      <w:sz w:val="30"/>
      <w:szCs w:val="30"/>
      <w:lang w:eastAsia="en-US"/>
    </w:rPr>
  </w:style>
  <w:style w:type="paragraph" w:styleId="1118" w:customStyle="1">
    <w:name w:val="Char Char1 Char Char Char Char Char Char1"/>
    <w:basedOn w:val="887"/>
    <w:uiPriority w:val="0"/>
    <w:qFormat/>
    <w:pPr>
      <w:jc w:val="left"/>
      <w:spacing w:after="160" w:line="240" w:lineRule="exact"/>
      <w:widowControl/>
    </w:pPr>
    <w:rPr>
      <w:rFonts w:ascii="Verdana" w:hAnsi="Verdana" w:eastAsia="仿宋_GB2312"/>
      <w:sz w:val="24"/>
      <w:szCs w:val="20"/>
      <w:lang w:eastAsia="en-US"/>
    </w:rPr>
  </w:style>
  <w:style w:type="paragraph" w:styleId="1119" w:customStyle="1">
    <w:name w:val="列出段落2"/>
    <w:basedOn w:val="887"/>
    <w:uiPriority w:val="0"/>
    <w:qFormat/>
    <w:pPr>
      <w:ind w:firstLine="420"/>
    </w:pPr>
    <w:rPr>
      <w:rFonts w:ascii="Calibri" w:hAnsi="Calibri"/>
      <w:szCs w:val="22"/>
    </w:rPr>
  </w:style>
  <w:style w:type="paragraph" w:styleId="1120" w:customStyle="1">
    <w:name w:val="Char Char Char1 Char2"/>
    <w:basedOn w:val="887"/>
    <w:uiPriority w:val="0"/>
    <w:qFormat/>
    <w:rPr>
      <w:rFonts w:ascii="Tahoma" w:hAnsi="Tahoma"/>
      <w:sz w:val="24"/>
      <w:szCs w:val="20"/>
    </w:rPr>
  </w:style>
  <w:style w:type="paragraph" w:styleId="1121" w:customStyle="1">
    <w:name w:val="Char Char Char2"/>
    <w:basedOn w:val="887"/>
    <w:uiPriority w:val="0"/>
    <w:qFormat/>
    <w:rPr>
      <w:rFonts w:ascii="Tahoma" w:hAnsi="Tahoma"/>
      <w:sz w:val="24"/>
      <w:szCs w:val="20"/>
    </w:rPr>
  </w:style>
  <w:style w:type="paragraph" w:styleId="1122" w:customStyle="1">
    <w:name w:val="Char Char Char Char Char Char Char2"/>
    <w:basedOn w:val="887"/>
    <w:uiPriority w:val="0"/>
    <w:qFormat/>
    <w:pPr>
      <w:ind w:firstLine="200"/>
      <w:spacing w:line="360" w:lineRule="auto"/>
    </w:pPr>
    <w:rPr>
      <w:rFonts w:eastAsia="仿宋_GB2312"/>
      <w:sz w:val="24"/>
    </w:rPr>
  </w:style>
  <w:style w:type="paragraph" w:styleId="1123" w:customStyle="1">
    <w:name w:val="正文缩进2"/>
    <w:basedOn w:val="887"/>
    <w:uiPriority w:val="0"/>
    <w:qFormat/>
    <w:pPr>
      <w:ind w:firstLine="567"/>
      <w:spacing w:line="480" w:lineRule="exact"/>
      <w:widowControl/>
    </w:pPr>
    <w:rPr>
      <w:rFonts w:ascii="宋体"/>
      <w:color w:val="000000"/>
      <w:sz w:val="28"/>
      <w:szCs w:val="20"/>
      <w:lang w:val="zh-CN"/>
    </w:rPr>
  </w:style>
  <w:style w:type="paragraph" w:styleId="1124" w:customStyle="1">
    <w:name w:val="修订1"/>
    <w:uiPriority w:val="0"/>
    <w:qFormat/>
    <w:rPr>
      <w:rFonts w:ascii="Times New Roman" w:hAnsi="Times New Roman" w:eastAsia="宋体" w:cs="Times New Roman"/>
      <w:sz w:val="21"/>
      <w:szCs w:val="24"/>
      <w:lang w:val="en-US" w:eastAsia="zh-CN" w:bidi="ar-SA"/>
    </w:rPr>
  </w:style>
  <w:style w:type="paragraph" w:styleId="1125" w:customStyle="1">
    <w:name w:val="Char22"/>
    <w:basedOn w:val="887"/>
    <w:uiPriority w:val="0"/>
    <w:qFormat/>
    <w:rPr>
      <w:rFonts w:ascii="Tahoma" w:hAnsi="Tahoma"/>
      <w:sz w:val="24"/>
      <w:szCs w:val="20"/>
    </w:rPr>
  </w:style>
  <w:style w:type="paragraph" w:styleId="1126" w:customStyle="1">
    <w:name w:val="Char Char Char Char Char Char Char Char Char Char2"/>
    <w:basedOn w:val="887"/>
    <w:uiPriority w:val="0"/>
    <w:qFormat/>
    <w:rPr>
      <w:rFonts w:ascii="宋体" w:hAnsi="宋体" w:cs="Courier New"/>
      <w:sz w:val="32"/>
      <w:szCs w:val="32"/>
    </w:rPr>
  </w:style>
  <w:style w:type="paragraph" w:styleId="1127" w:customStyle="1">
    <w:name w:val="Char2 Char Char Char Char Char Char1"/>
    <w:basedOn w:val="887"/>
    <w:uiPriority w:val="0"/>
    <w:qFormat/>
    <w:pPr>
      <w:jc w:val="center"/>
      <w:spacing w:line="400" w:lineRule="exact"/>
      <w:widowControl/>
    </w:pPr>
  </w:style>
  <w:style w:type="character" w:styleId="1128" w:customStyle="1">
    <w:name w:val="页脚 Char"/>
    <w:uiPriority w:val="0"/>
    <w:qFormat/>
    <w:rPr>
      <w:rFonts w:ascii="宋体" w:eastAsia="宋体"/>
      <w:sz w:val="18"/>
      <w:lang w:val="en-US" w:eastAsia="zh-CN" w:bidi="ar-SA"/>
    </w:rPr>
  </w:style>
  <w:style w:type="paragraph" w:styleId="1129" w:customStyle="1">
    <w:name w:val="Char Char41"/>
    <w:basedOn w:val="887"/>
    <w:uiPriority w:val="0"/>
    <w:qFormat/>
    <w:pPr>
      <w:jc w:val="center"/>
      <w:spacing w:line="400" w:lineRule="exact"/>
      <w:widowControl/>
    </w:pPr>
  </w:style>
  <w:style w:type="character" w:styleId="1130" w:customStyle="1">
    <w:name w:val="批注文字 Char"/>
    <w:uiPriority w:val="99"/>
    <w:qFormat/>
    <w:rPr>
      <w:sz w:val="21"/>
      <w:szCs w:val="24"/>
    </w:rPr>
  </w:style>
  <w:style w:type="character" w:styleId="1131" w:customStyle="1">
    <w:name w:val="标题 Char"/>
    <w:uiPriority w:val="0"/>
    <w:qFormat/>
    <w:rPr>
      <w:b/>
      <w:sz w:val="32"/>
    </w:rPr>
  </w:style>
  <w:style w:type="paragraph" w:styleId="1132" w:customStyle="1">
    <w:name w:val="图例"/>
    <w:basedOn w:val="887"/>
    <w:uiPriority w:val="0"/>
    <w:qFormat/>
    <w:pPr>
      <w:jc w:val="center"/>
      <w:spacing w:before="120" w:after="120" w:line="360" w:lineRule="auto"/>
    </w:pPr>
    <w:rPr>
      <w:rFonts w:eastAsia="仿宋_GB2312"/>
      <w:b/>
      <w:sz w:val="24"/>
      <w:szCs w:val="20"/>
    </w:rPr>
  </w:style>
  <w:style w:type="table" w:styleId="1133"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4" w:customStyle="1">
    <w:name w:val="Table Paragraph"/>
    <w:basedOn w:val="887"/>
    <w:uiPriority w:val="1"/>
    <w:qFormat/>
    <w:pPr>
      <w:jc w:val="left"/>
    </w:pPr>
    <w:rPr>
      <w:rFonts w:ascii="宋体" w:hAnsi="宋体" w:cs="宋体"/>
      <w:sz w:val="22"/>
      <w:szCs w:val="22"/>
      <w:lang w:eastAsia="en-US"/>
    </w:rPr>
  </w:style>
  <w:style w:type="paragraph" w:styleId="1135" w:customStyle="1">
    <w:name w:val="成文日期"/>
    <w:basedOn w:val="887"/>
    <w:link w:val="1136"/>
    <w:uiPriority w:val="0"/>
    <w:qFormat/>
    <w:pPr>
      <w:ind w:right="400" w:firstLine="200"/>
      <w:jc w:val="right"/>
      <w:spacing w:line="570" w:lineRule="exact"/>
    </w:pPr>
    <w:rPr>
      <w:rFonts w:ascii="仿宋_GB2312" w:eastAsia="仿宋_GB2312"/>
      <w:sz w:val="32"/>
      <w:szCs w:val="20"/>
    </w:rPr>
  </w:style>
  <w:style w:type="character" w:styleId="1136" w:customStyle="1">
    <w:name w:val="成文日期 Char"/>
    <w:link w:val="1135"/>
    <w:uiPriority w:val="0"/>
    <w:qFormat/>
    <w:rPr>
      <w:rFonts w:ascii="仿宋_GB2312" w:eastAsia="仿宋_GB2312"/>
      <w:sz w:val="32"/>
    </w:rPr>
  </w:style>
  <w:style w:type="paragraph" w:styleId="1137" w:customStyle="1">
    <w:name w:val="_Style 249"/>
    <w:uiPriority w:val="99"/>
    <w:unhideWhenUsed/>
    <w:qFormat/>
    <w:rPr>
      <w:rFonts w:ascii="Times New Roman" w:hAnsi="Times New Roman" w:eastAsia="宋体" w:cs="Times New Roman"/>
      <w:sz w:val="21"/>
      <w:szCs w:val="24"/>
      <w:lang w:val="en-US" w:eastAsia="zh-CN" w:bidi="ar-SA"/>
    </w:rPr>
  </w:style>
  <w:style w:type="paragraph" w:styleId="1138" w:customStyle="1">
    <w:name w:val="正文（缩进）"/>
    <w:basedOn w:val="887"/>
    <w:uiPriority w:val="0"/>
    <w:qFormat/>
    <w:pPr>
      <w:ind w:firstLine="480"/>
    </w:pPr>
  </w:style>
  <w:style w:type="character" w:styleId="1139" w:customStyle="1">
    <w:name w:val="l-btn-text36"/>
    <w:uiPriority w:val="0"/>
    <w:qFormat/>
  </w:style>
  <w:style w:type="character" w:styleId="1140" w:customStyle="1">
    <w:name w:val="current"/>
    <w:uiPriority w:val="0"/>
    <w:qFormat/>
    <w:rPr>
      <w:b/>
      <w:bCs/>
      <w:color w:val="05a7d8"/>
      <w:sz w:val="18"/>
      <w:szCs w:val="18"/>
    </w:rPr>
  </w:style>
  <w:style w:type="character" w:styleId="1141" w:customStyle="1">
    <w:name w:val="l-btn-left"/>
    <w:uiPriority w:val="0"/>
    <w:qFormat/>
  </w:style>
  <w:style w:type="character" w:styleId="1142" w:customStyle="1">
    <w:name w:val="tree-title3"/>
    <w:uiPriority w:val="0"/>
    <w:qFormat/>
    <w:rPr>
      <w:sz w:val="18"/>
      <w:szCs w:val="18"/>
      <w:u w:val="none"/>
    </w:rPr>
  </w:style>
  <w:style w:type="character" w:styleId="1143" w:customStyle="1">
    <w:name w:val="l-btn-text"/>
    <w:uiPriority w:val="0"/>
    <w:qFormat/>
  </w:style>
  <w:style w:type="character" w:styleId="1144" w:customStyle="1">
    <w:name w:val="l-btn-text35"/>
    <w:uiPriority w:val="0"/>
    <w:qFormat/>
  </w:style>
  <w:style w:type="character" w:styleId="1145" w:customStyle="1">
    <w:name w:val="l-btn-text25"/>
    <w:uiPriority w:val="0"/>
    <w:qFormat/>
  </w:style>
  <w:style w:type="paragraph" w:styleId="1146" w:customStyle="1">
    <w:name w:val="段"/>
    <w:next w:val="887"/>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47" w:customStyle="1">
    <w:name w:val="正文1"/>
    <w:basedOn w:val="887"/>
    <w:next w:val="887"/>
    <w:uiPriority w:val="0"/>
    <w:qFormat/>
    <w:pPr>
      <w:ind w:left="420" w:firstLine="527"/>
      <w:spacing w:before="120" w:line="360" w:lineRule="auto"/>
    </w:pPr>
    <w:rPr>
      <w:rFonts w:ascii="宋体" w:hAnsi="宋体"/>
    </w:rPr>
  </w:style>
  <w:style w:type="character" w:styleId="1148" w:customStyle="1">
    <w:name w:val="font151"/>
    <w:uiPriority w:val="0"/>
    <w:qFormat/>
    <w:rPr>
      <w:rFonts w:ascii="Arial" w:hAnsi="Arial" w:cs="Arial"/>
      <w:color w:val="000000"/>
      <w:sz w:val="16"/>
      <w:szCs w:val="16"/>
      <w:u w:val="none"/>
    </w:rPr>
  </w:style>
  <w:style w:type="character" w:styleId="1149" w:customStyle="1">
    <w:name w:val="font161"/>
    <w:uiPriority w:val="0"/>
    <w:qFormat/>
    <w:rPr>
      <w:rFonts w:hint="eastAsia" w:ascii="宋体" w:hAnsi="宋体" w:eastAsia="宋体" w:cs="宋体"/>
      <w:color w:val="000000"/>
      <w:sz w:val="16"/>
      <w:szCs w:val="16"/>
      <w:u w:val="none"/>
    </w:rPr>
  </w:style>
  <w:style w:type="paragraph" w:styleId="1150" w:customStyle="1">
    <w:name w:val="列表段落1"/>
    <w:basedOn w:val="887"/>
    <w:uiPriority w:val="34"/>
    <w:qFormat/>
    <w:pPr>
      <w:ind w:firstLine="420"/>
    </w:pPr>
  </w:style>
  <w:style w:type="character" w:styleId="1151" w:customStyle="1">
    <w:name w:val="font181"/>
    <w:uiPriority w:val="0"/>
    <w:qFormat/>
    <w:rPr>
      <w:rFonts w:ascii="微软雅黑" w:hAnsi="微软雅黑" w:eastAsia="微软雅黑" w:cs="微软雅黑"/>
      <w:color w:val="000000"/>
      <w:sz w:val="18"/>
      <w:szCs w:val="18"/>
      <w:u w:val="none"/>
    </w:rPr>
  </w:style>
  <w:style w:type="paragraph" w:styleId="115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3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7</cp:revision>
  <dcterms:created xsi:type="dcterms:W3CDTF">2025-08-15T08:36:00Z</dcterms:created>
  <dcterms:modified xsi:type="dcterms:W3CDTF">2025-10-28T08:08:40Z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65E4E4CFAC284BE0ACAC358C8F9D208A_13</vt:lpwstr>
  </property>
  <property fmtid="{D5CDD505-2E9C-101B-9397-08002B2CF9AE}" pid="4" name="KSOTemplateDocerSaveRecord">
    <vt:lpwstr>eyJoZGlkIjoiMDAxZWM5YTdkNmNmNzUxZTNmMjg3MTIwOGZlNTI4MjciLCJ1c2VySWQiOiI5NTk4MTk3NjAifQ==</vt:lpwstr>
  </property>
</Properties>
</file>